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rPr>
          <w:rFonts w:hint="eastAsia"/>
          <w:b/>
          <w:bCs/>
          <w:kern w:val="0"/>
          <w:sz w:val="32"/>
          <w:szCs w:val="32"/>
        </w:rPr>
      </w:pPr>
      <w:r>
        <w:rPr>
          <w:rFonts w:hint="eastAsia"/>
          <w:b/>
          <w:bCs/>
          <w:kern w:val="0"/>
          <w:sz w:val="32"/>
          <w:szCs w:val="32"/>
        </w:rPr>
        <w:t>上海海洋大学经济管理学院研究生国家奖学金实施细则</w:t>
      </w:r>
    </w:p>
    <w:p>
      <w:pPr>
        <w:widowControl/>
        <w:spacing w:line="400" w:lineRule="exact"/>
        <w:jc w:val="center"/>
        <w:rPr>
          <w:rFonts w:hint="eastAsia"/>
          <w:b/>
          <w:bCs/>
          <w:kern w:val="0"/>
          <w:sz w:val="32"/>
          <w:szCs w:val="32"/>
        </w:rPr>
      </w:pPr>
      <w:r>
        <w:rPr>
          <w:rFonts w:hint="eastAsia"/>
          <w:b/>
          <w:bCs/>
          <w:kern w:val="0"/>
          <w:sz w:val="32"/>
          <w:szCs w:val="32"/>
        </w:rPr>
        <w:t>—2019年修订</w:t>
      </w:r>
      <w:bookmarkStart w:id="0" w:name="_GoBack"/>
      <w:bookmarkEnd w:id="0"/>
    </w:p>
    <w:p>
      <w:pPr>
        <w:widowControl/>
        <w:spacing w:line="400" w:lineRule="exact"/>
        <w:jc w:val="left"/>
        <w:rPr>
          <w:kern w:val="0"/>
          <w:szCs w:val="18"/>
        </w:rPr>
      </w:pPr>
      <w:r>
        <w:rPr>
          <w:rFonts w:hint="eastAsia"/>
          <w:b/>
          <w:kern w:val="0"/>
          <w:szCs w:val="18"/>
        </w:rPr>
        <w:t>第一</w:t>
      </w:r>
      <w:r>
        <w:rPr>
          <w:rFonts w:hint="eastAsia"/>
          <w:kern w:val="0"/>
          <w:szCs w:val="18"/>
        </w:rPr>
        <w:t>条  为发展研究生教育，促进研究生培养机制改革，提高研究生培养质量，根据财政部、教育部《普通高等学校研究生国家奖学金评审办法》（教财[2014]1号）和教育部全国学生资助管理中心《关于做好2012年研究生国家奖学金工作的通知》（教助中心〔2012〕92 号），上海市学位委员会办公室文件《上海市学位委员会办公室关于开展 2012年上海市地方高校研究生国家奖学金评选工作的通知》（沪学位办〔2012〕14号），国家自2012年起建立研究生国家奖学金制度，设立研究生国家奖学金。</w:t>
      </w:r>
      <w:r>
        <w:rPr>
          <w:kern w:val="0"/>
          <w:szCs w:val="18"/>
        </w:rPr>
        <w:t>按照《</w:t>
      </w:r>
      <w:r>
        <w:rPr>
          <w:rFonts w:hint="eastAsia"/>
          <w:kern w:val="0"/>
          <w:szCs w:val="18"/>
        </w:rPr>
        <w:t>上海海洋大学研究生先进个人评选细则</w:t>
      </w:r>
      <w:r>
        <w:rPr>
          <w:kern w:val="0"/>
          <w:szCs w:val="18"/>
        </w:rPr>
        <w:t>》，</w:t>
      </w:r>
      <w:r>
        <w:rPr>
          <w:rFonts w:hint="eastAsia"/>
          <w:kern w:val="0"/>
          <w:szCs w:val="18"/>
        </w:rPr>
        <w:t>为做好上海海洋大学经济管理学院研究生国家奖学金工作，制定本办法。</w:t>
      </w:r>
    </w:p>
    <w:p>
      <w:pPr>
        <w:spacing w:line="276" w:lineRule="auto"/>
        <w:rPr>
          <w:rFonts w:hint="eastAsia" w:ascii="Arial" w:hAnsi="Arial" w:cs="Arial"/>
          <w:color w:val="000000"/>
          <w:szCs w:val="21"/>
        </w:rPr>
      </w:pPr>
      <w:r>
        <w:rPr>
          <w:b/>
        </w:rPr>
        <w:t>第二条</w:t>
      </w:r>
      <w:r>
        <w:t xml:space="preserve">  </w:t>
      </w:r>
      <w:r>
        <w:rPr>
          <w:rFonts w:ascii="Arial" w:hAnsi="宋体" w:cs="Arial"/>
          <w:color w:val="000000"/>
          <w:szCs w:val="21"/>
        </w:rPr>
        <w:t>研究生国家奖学金由中央财政出资设立，用于奖励普通高等学校（以下简称高等学校）中表现优异的在校全日制研究生。不包括定向、委培及延长学习年限的研究生。</w:t>
      </w:r>
    </w:p>
    <w:p>
      <w:pPr>
        <w:widowControl/>
        <w:spacing w:line="400" w:lineRule="exact"/>
        <w:jc w:val="left"/>
        <w:rPr>
          <w:rFonts w:ascii="Arial" w:hAnsi="宋体" w:cs="Arial"/>
          <w:color w:val="000000"/>
          <w:szCs w:val="21"/>
        </w:rPr>
      </w:pPr>
      <w:r>
        <w:rPr>
          <w:b/>
          <w:kern w:val="0"/>
          <w:szCs w:val="18"/>
        </w:rPr>
        <w:t>第三条</w:t>
      </w:r>
      <w:r>
        <w:rPr>
          <w:kern w:val="0"/>
          <w:szCs w:val="18"/>
        </w:rPr>
        <w:t xml:space="preserve">  </w:t>
      </w:r>
      <w:r>
        <w:rPr>
          <w:rFonts w:ascii="Arial" w:hAnsi="宋体" w:cs="Arial"/>
          <w:color w:val="000000"/>
          <w:szCs w:val="21"/>
        </w:rPr>
        <w:t>我</w:t>
      </w:r>
      <w:r>
        <w:rPr>
          <w:rFonts w:hint="eastAsia" w:ascii="Arial" w:hAnsi="宋体" w:cs="Arial"/>
          <w:color w:val="000000"/>
          <w:szCs w:val="21"/>
        </w:rPr>
        <w:t>院</w:t>
      </w:r>
      <w:r>
        <w:rPr>
          <w:rFonts w:ascii="Arial" w:hAnsi="宋体" w:cs="Arial"/>
          <w:color w:val="000000"/>
          <w:szCs w:val="21"/>
        </w:rPr>
        <w:t>根据上级组织下达的当年度研究生国家奖学金额度进行名额分配。对学校和国家有特殊贡献者优先。从整体来看，博士研究生评选比例原则上不超过</w:t>
      </w:r>
      <w:r>
        <w:rPr>
          <w:rFonts w:ascii="Arial" w:hAnsi="Arial" w:cs="Arial"/>
          <w:color w:val="000000"/>
          <w:szCs w:val="21"/>
        </w:rPr>
        <w:t>5%</w:t>
      </w:r>
      <w:r>
        <w:rPr>
          <w:rFonts w:ascii="Arial" w:hAnsi="宋体" w:cs="Arial"/>
          <w:color w:val="000000"/>
          <w:szCs w:val="21"/>
        </w:rPr>
        <w:t>，硕士研究生评选比例原则上不超过</w:t>
      </w:r>
      <w:r>
        <w:rPr>
          <w:rFonts w:ascii="Arial" w:hAnsi="Arial" w:cs="Arial"/>
          <w:color w:val="000000"/>
          <w:szCs w:val="21"/>
        </w:rPr>
        <w:t>3%</w:t>
      </w:r>
      <w:r>
        <w:rPr>
          <w:rFonts w:ascii="Arial" w:hAnsi="宋体" w:cs="Arial"/>
          <w:color w:val="000000"/>
          <w:szCs w:val="21"/>
        </w:rPr>
        <w:t>。</w:t>
      </w:r>
    </w:p>
    <w:p>
      <w:pPr>
        <w:spacing w:line="276" w:lineRule="auto"/>
        <w:rPr>
          <w:rFonts w:ascii="Arial" w:hAnsi="Arial" w:cs="Arial"/>
          <w:color w:val="000000"/>
          <w:szCs w:val="21"/>
        </w:rPr>
      </w:pPr>
      <w:r>
        <w:rPr>
          <w:b/>
          <w:kern w:val="0"/>
        </w:rPr>
        <w:t>第四条</w:t>
      </w:r>
      <w:r>
        <w:rPr>
          <w:kern w:val="0"/>
        </w:rPr>
        <w:t xml:space="preserve">  </w:t>
      </w:r>
      <w:r>
        <w:rPr>
          <w:rFonts w:ascii="Arial" w:hAnsi="宋体" w:cs="Arial"/>
          <w:color w:val="000000"/>
          <w:szCs w:val="21"/>
        </w:rPr>
        <w:t>研究生国家奖学金基本申请条件：</w:t>
      </w:r>
    </w:p>
    <w:p>
      <w:pPr>
        <w:spacing w:line="276" w:lineRule="auto"/>
        <w:ind w:firstLine="420" w:firstLineChars="200"/>
        <w:rPr>
          <w:rFonts w:ascii="Arial" w:hAnsi="Arial" w:cs="Arial"/>
          <w:color w:val="000000"/>
          <w:szCs w:val="21"/>
        </w:rPr>
      </w:pPr>
      <w:r>
        <w:rPr>
          <w:rFonts w:ascii="Arial" w:hAnsi="Arial" w:cs="Arial"/>
          <w:color w:val="000000"/>
          <w:szCs w:val="21"/>
        </w:rPr>
        <w:t>1.</w:t>
      </w:r>
      <w:r>
        <w:rPr>
          <w:rFonts w:ascii="Arial" w:hAnsi="宋体" w:cs="Arial"/>
          <w:color w:val="000000"/>
          <w:szCs w:val="21"/>
        </w:rPr>
        <w:t>热爱社会主义祖国，拥护中国共产党的领导；</w:t>
      </w:r>
    </w:p>
    <w:p>
      <w:pPr>
        <w:spacing w:line="276" w:lineRule="auto"/>
        <w:ind w:firstLine="420" w:firstLineChars="200"/>
        <w:rPr>
          <w:rFonts w:ascii="Arial" w:hAnsi="Arial" w:cs="Arial"/>
          <w:color w:val="000000"/>
          <w:szCs w:val="21"/>
        </w:rPr>
      </w:pPr>
      <w:r>
        <w:rPr>
          <w:rFonts w:ascii="Arial" w:hAnsi="Arial" w:cs="Arial"/>
          <w:color w:val="000000"/>
          <w:szCs w:val="21"/>
        </w:rPr>
        <w:t>2.</w:t>
      </w:r>
      <w:r>
        <w:rPr>
          <w:rFonts w:ascii="Arial" w:hAnsi="宋体" w:cs="Arial"/>
          <w:color w:val="000000"/>
          <w:szCs w:val="21"/>
        </w:rPr>
        <w:t>遵守宪法和法律，遵守高等学校规章制度；</w:t>
      </w:r>
    </w:p>
    <w:p>
      <w:pPr>
        <w:spacing w:line="276" w:lineRule="auto"/>
        <w:ind w:firstLine="420" w:firstLineChars="200"/>
        <w:rPr>
          <w:rFonts w:ascii="Arial" w:hAnsi="Arial" w:cs="Arial"/>
          <w:color w:val="000000"/>
          <w:szCs w:val="21"/>
        </w:rPr>
      </w:pPr>
      <w:r>
        <w:rPr>
          <w:rFonts w:ascii="Arial" w:hAnsi="Arial" w:cs="Arial"/>
          <w:color w:val="000000"/>
          <w:szCs w:val="21"/>
        </w:rPr>
        <w:t>3.</w:t>
      </w:r>
      <w:r>
        <w:rPr>
          <w:rFonts w:ascii="Arial" w:hAnsi="宋体" w:cs="Arial"/>
          <w:color w:val="000000"/>
          <w:szCs w:val="21"/>
        </w:rPr>
        <w:t>诚实守信，道德品质优良；</w:t>
      </w:r>
    </w:p>
    <w:p>
      <w:pPr>
        <w:spacing w:line="276" w:lineRule="auto"/>
        <w:ind w:firstLine="420" w:firstLineChars="200"/>
        <w:rPr>
          <w:rFonts w:ascii="Arial" w:hAnsi="Arial" w:cs="Arial"/>
          <w:color w:val="000000"/>
          <w:szCs w:val="21"/>
        </w:rPr>
      </w:pPr>
      <w:r>
        <w:rPr>
          <w:rFonts w:ascii="Arial" w:hAnsi="Arial" w:cs="Arial"/>
          <w:color w:val="000000"/>
          <w:szCs w:val="21"/>
        </w:rPr>
        <w:t>4.</w:t>
      </w:r>
      <w:r>
        <w:rPr>
          <w:rFonts w:ascii="Arial" w:hAnsi="宋体" w:cs="Arial"/>
          <w:color w:val="000000"/>
          <w:szCs w:val="21"/>
        </w:rPr>
        <w:t>关心集体，团结同学，积极参加各项集体活动；</w:t>
      </w:r>
    </w:p>
    <w:p>
      <w:pPr>
        <w:spacing w:line="276" w:lineRule="auto"/>
        <w:ind w:firstLine="420" w:firstLineChars="200"/>
        <w:rPr>
          <w:rFonts w:ascii="Arial" w:hAnsi="宋体" w:cs="Arial"/>
          <w:color w:val="000000"/>
          <w:szCs w:val="21"/>
        </w:rPr>
      </w:pPr>
      <w:r>
        <w:rPr>
          <w:rFonts w:ascii="Arial" w:hAnsi="Arial" w:cs="Arial"/>
          <w:color w:val="000000"/>
          <w:szCs w:val="21"/>
        </w:rPr>
        <w:t>5.</w:t>
      </w:r>
      <w:r>
        <w:rPr>
          <w:rFonts w:ascii="Arial" w:hAnsi="宋体" w:cs="Arial"/>
          <w:color w:val="000000"/>
          <w:szCs w:val="21"/>
        </w:rPr>
        <w:t>学习成绩优异，无不及格现象，科研能力显著，发展潜力突出。</w:t>
      </w:r>
    </w:p>
    <w:p>
      <w:pPr>
        <w:spacing w:line="276" w:lineRule="auto"/>
        <w:ind w:firstLine="420" w:firstLineChars="200"/>
        <w:rPr>
          <w:rFonts w:ascii="Arial" w:hAnsi="宋体" w:cs="Arial"/>
          <w:color w:val="000000"/>
          <w:szCs w:val="21"/>
        </w:rPr>
      </w:pPr>
      <w:r>
        <w:rPr>
          <w:rFonts w:hint="eastAsia" w:ascii="Arial" w:hAnsi="宋体" w:cs="Arial"/>
          <w:color w:val="000000"/>
          <w:szCs w:val="21"/>
        </w:rPr>
        <w:t>6</w:t>
      </w:r>
      <w:r>
        <w:rPr>
          <w:rFonts w:ascii="Arial" w:hAnsi="宋体" w:cs="Arial"/>
          <w:color w:val="000000"/>
          <w:szCs w:val="21"/>
        </w:rPr>
        <w:t>.获得一等学业奖学金或二等学业奖学金</w:t>
      </w:r>
    </w:p>
    <w:p>
      <w:pPr>
        <w:spacing w:line="276" w:lineRule="auto"/>
        <w:ind w:firstLine="420" w:firstLineChars="200"/>
        <w:rPr>
          <w:rFonts w:ascii="Arial" w:hAnsi="Arial" w:cs="Arial"/>
          <w:color w:val="000000"/>
          <w:szCs w:val="21"/>
        </w:rPr>
      </w:pPr>
      <w:r>
        <w:rPr>
          <w:rFonts w:hint="eastAsia" w:ascii="Arial" w:hAnsi="宋体" w:cs="Arial"/>
          <w:color w:val="000000"/>
          <w:szCs w:val="21"/>
        </w:rPr>
        <w:t>7</w:t>
      </w:r>
      <w:r>
        <w:rPr>
          <w:rFonts w:ascii="Arial" w:hAnsi="宋体" w:cs="Arial"/>
          <w:color w:val="000000"/>
          <w:szCs w:val="21"/>
        </w:rPr>
        <w:t>.科研</w:t>
      </w:r>
      <w:r>
        <w:rPr>
          <w:rFonts w:hint="eastAsia" w:ascii="Arial" w:hAnsi="宋体" w:cs="Arial"/>
          <w:color w:val="000000"/>
          <w:szCs w:val="21"/>
        </w:rPr>
        <w:t>创新</w:t>
      </w:r>
      <w:r>
        <w:rPr>
          <w:rFonts w:ascii="Arial" w:hAnsi="宋体" w:cs="Arial"/>
          <w:color w:val="000000"/>
          <w:szCs w:val="21"/>
        </w:rPr>
        <w:t>成绩突出</w:t>
      </w:r>
      <w:r>
        <w:rPr>
          <w:rFonts w:hint="eastAsia" w:ascii="Arial" w:hAnsi="宋体" w:cs="Arial"/>
          <w:color w:val="000000"/>
          <w:szCs w:val="21"/>
        </w:rPr>
        <w:t>，公开发表SCI,EI,ISTP,CSCD,CSSCI核心库论文或者获得发明专利证书。</w:t>
      </w:r>
      <w:r>
        <w:rPr>
          <w:rFonts w:ascii="Arial" w:hAnsi="宋体" w:cs="Arial"/>
          <w:color w:val="000000"/>
          <w:szCs w:val="21"/>
        </w:rPr>
        <w:t>科研评分细则</w:t>
      </w:r>
      <w:r>
        <w:rPr>
          <w:rFonts w:hint="eastAsia" w:ascii="Arial" w:hAnsi="宋体" w:cs="Arial"/>
          <w:color w:val="000000"/>
          <w:szCs w:val="21"/>
        </w:rPr>
        <w:t>见附件1</w:t>
      </w:r>
      <w:r>
        <w:rPr>
          <w:rFonts w:ascii="Arial" w:hAnsi="宋体" w:cs="Arial"/>
          <w:color w:val="000000"/>
          <w:szCs w:val="21"/>
        </w:rPr>
        <w:t>。</w:t>
      </w:r>
    </w:p>
    <w:p>
      <w:pPr>
        <w:spacing w:line="276" w:lineRule="auto"/>
        <w:rPr>
          <w:rFonts w:hint="eastAsia" w:ascii="Arial" w:hAnsi="Arial" w:cs="Arial"/>
          <w:color w:val="000000"/>
          <w:szCs w:val="21"/>
        </w:rPr>
      </w:pPr>
      <w:r>
        <w:rPr>
          <w:b/>
          <w:kern w:val="0"/>
        </w:rPr>
        <w:t>第</w:t>
      </w:r>
      <w:r>
        <w:rPr>
          <w:rFonts w:hint="eastAsia"/>
          <w:b/>
          <w:kern w:val="0"/>
        </w:rPr>
        <w:t>五</w:t>
      </w:r>
      <w:r>
        <w:rPr>
          <w:b/>
          <w:kern w:val="0"/>
        </w:rPr>
        <w:t>条</w:t>
      </w:r>
      <w:r>
        <w:rPr>
          <w:rFonts w:hint="eastAsia"/>
          <w:b/>
          <w:kern w:val="0"/>
        </w:rPr>
        <w:t xml:space="preserve"> </w:t>
      </w:r>
      <w:r>
        <w:rPr>
          <w:b/>
          <w:kern w:val="0"/>
        </w:rPr>
        <w:t xml:space="preserve"> </w:t>
      </w:r>
      <w:r>
        <w:rPr>
          <w:rFonts w:ascii="Arial" w:hAnsi="宋体" w:cs="Arial"/>
          <w:color w:val="000000"/>
          <w:szCs w:val="21"/>
        </w:rPr>
        <w:t>研究生国家奖学金每年评审一次，每年９月份受理。</w:t>
      </w:r>
    </w:p>
    <w:p>
      <w:pPr>
        <w:widowControl/>
        <w:autoSpaceDE w:val="0"/>
        <w:autoSpaceDN w:val="0"/>
        <w:adjustRightInd w:val="0"/>
        <w:spacing w:line="360" w:lineRule="auto"/>
        <w:jc w:val="left"/>
        <w:rPr>
          <w:kern w:val="0"/>
        </w:rPr>
      </w:pPr>
      <w:r>
        <w:rPr>
          <w:b/>
        </w:rPr>
        <w:t>第六条</w:t>
      </w:r>
      <w:r>
        <w:t xml:space="preserve">  </w:t>
      </w:r>
      <w:r>
        <w:rPr>
          <w:kern w:val="0"/>
        </w:rPr>
        <w:t>研究生</w:t>
      </w:r>
      <w:r>
        <w:rPr>
          <w:rFonts w:hint="eastAsia"/>
          <w:kern w:val="0"/>
        </w:rPr>
        <w:t>国家奖学金评选</w:t>
      </w:r>
      <w:r>
        <w:rPr>
          <w:kern w:val="0"/>
        </w:rPr>
        <w:t>，采用“先申请后受理、不申请不受理”的原则，由研究生本人在规定的申请时段内提出申请</w:t>
      </w:r>
      <w:r>
        <w:rPr>
          <w:rFonts w:hint="eastAsia"/>
          <w:kern w:val="0"/>
        </w:rPr>
        <w:t>，</w:t>
      </w:r>
      <w:r>
        <w:rPr>
          <w:rFonts w:ascii="Arial" w:hAnsi="宋体" w:cs="Arial"/>
          <w:color w:val="000000"/>
          <w:szCs w:val="21"/>
        </w:rPr>
        <w:t>每学年评选一次，每年</w:t>
      </w:r>
      <w:r>
        <w:rPr>
          <w:rFonts w:ascii="Arial" w:hAnsi="Arial" w:cs="Arial"/>
          <w:color w:val="000000"/>
          <w:szCs w:val="21"/>
        </w:rPr>
        <w:t>9</w:t>
      </w:r>
      <w:r>
        <w:rPr>
          <w:rFonts w:ascii="Arial" w:hAnsi="宋体" w:cs="Arial"/>
          <w:color w:val="000000"/>
          <w:szCs w:val="21"/>
        </w:rPr>
        <w:t>月份受理</w:t>
      </w:r>
      <w:r>
        <w:rPr>
          <w:rFonts w:hint="eastAsia" w:ascii="Arial" w:hAnsi="宋体" w:cs="Arial"/>
          <w:color w:val="000000"/>
          <w:szCs w:val="21"/>
        </w:rPr>
        <w:t>，</w:t>
      </w:r>
      <w:r>
        <w:rPr>
          <w:kern w:val="0"/>
        </w:rPr>
        <w:t>经过学院评审、学校研究生院审核后确定</w:t>
      </w:r>
      <w:r>
        <w:rPr>
          <w:rFonts w:hint="eastAsia"/>
          <w:kern w:val="0"/>
        </w:rPr>
        <w:t>名单</w:t>
      </w:r>
      <w:r>
        <w:rPr>
          <w:kern w:val="0"/>
        </w:rPr>
        <w:t>。</w:t>
      </w:r>
    </w:p>
    <w:p>
      <w:pPr>
        <w:widowControl/>
        <w:spacing w:line="400" w:lineRule="exact"/>
        <w:jc w:val="left"/>
        <w:rPr>
          <w:rFonts w:hint="eastAsia" w:ascii="Arial" w:hAnsi="宋体" w:cs="Arial"/>
          <w:color w:val="000000"/>
          <w:szCs w:val="21"/>
        </w:rPr>
      </w:pPr>
      <w:r>
        <w:rPr>
          <w:b/>
        </w:rPr>
        <w:t>第</w:t>
      </w:r>
      <w:r>
        <w:rPr>
          <w:rFonts w:hint="eastAsia"/>
          <w:b/>
        </w:rPr>
        <w:t>七</w:t>
      </w:r>
      <w:r>
        <w:rPr>
          <w:b/>
        </w:rPr>
        <w:t>条</w:t>
      </w:r>
      <w:r>
        <w:t xml:space="preserve">  </w:t>
      </w:r>
      <w:r>
        <w:rPr>
          <w:rFonts w:ascii="Arial" w:hAnsi="宋体" w:cs="Arial"/>
          <w:color w:val="000000"/>
          <w:szCs w:val="21"/>
        </w:rPr>
        <w:t>为统筹我校研究生国家奖学金和其他研究生奖学金的名额分配、评审和发放工作，充分发挥各类奖学金的激励作用，凡是获得研究生国家奖学金的研究生，可以同时享受学业奖学金，但不享受校内专项奖学金的申请。</w:t>
      </w:r>
    </w:p>
    <w:p>
      <w:pPr>
        <w:spacing w:line="276" w:lineRule="auto"/>
        <w:rPr>
          <w:rFonts w:ascii="Arial" w:hAnsi="Arial" w:cs="Arial"/>
          <w:color w:val="000000"/>
          <w:szCs w:val="21"/>
        </w:rPr>
      </w:pPr>
      <w:r>
        <w:rPr>
          <w:b/>
          <w:kern w:val="0"/>
        </w:rPr>
        <w:t>第</w:t>
      </w:r>
      <w:r>
        <w:rPr>
          <w:rFonts w:hint="eastAsia"/>
          <w:b/>
          <w:kern w:val="0"/>
        </w:rPr>
        <w:t>八</w:t>
      </w:r>
      <w:r>
        <w:rPr>
          <w:b/>
          <w:kern w:val="0"/>
        </w:rPr>
        <w:t>条</w:t>
      </w:r>
      <w:r>
        <w:rPr>
          <w:kern w:val="0"/>
        </w:rPr>
        <w:t xml:space="preserve">  </w:t>
      </w:r>
      <w:r>
        <w:rPr>
          <w:rFonts w:hint="eastAsia"/>
          <w:kern w:val="0"/>
        </w:rPr>
        <w:t>学院</w:t>
      </w:r>
      <w:r>
        <w:rPr>
          <w:rFonts w:ascii="Arial" w:hAnsi="宋体" w:cs="Arial"/>
          <w:color w:val="000000"/>
          <w:szCs w:val="21"/>
        </w:rPr>
        <w:t>成立由</w:t>
      </w:r>
      <w:r>
        <w:rPr>
          <w:rFonts w:hint="eastAsia" w:ascii="Arial" w:hAnsi="宋体" w:cs="Arial"/>
          <w:color w:val="000000"/>
          <w:szCs w:val="21"/>
        </w:rPr>
        <w:t>党委书记</w:t>
      </w:r>
      <w:r>
        <w:rPr>
          <w:rFonts w:ascii="Arial" w:hAnsi="宋体" w:cs="Arial"/>
          <w:color w:val="000000"/>
          <w:szCs w:val="21"/>
        </w:rPr>
        <w:t>任主任委员，研究生导师代表、研究生行政教育管理人员、研究生代表为委员的研究生评奖评优委员会，负责</w:t>
      </w:r>
      <w:r>
        <w:rPr>
          <w:rFonts w:hint="eastAsia" w:ascii="Arial" w:hAnsi="宋体" w:cs="Arial"/>
          <w:color w:val="000000"/>
          <w:szCs w:val="21"/>
        </w:rPr>
        <w:t>学院</w:t>
      </w:r>
      <w:r>
        <w:rPr>
          <w:rFonts w:ascii="Arial" w:hAnsi="宋体" w:cs="Arial"/>
          <w:color w:val="000000"/>
          <w:szCs w:val="21"/>
        </w:rPr>
        <w:t>研究生国家奖学金的申请组织和初步评审工作。</w:t>
      </w:r>
    </w:p>
    <w:p>
      <w:pPr>
        <w:spacing w:line="276" w:lineRule="auto"/>
        <w:rPr>
          <w:rFonts w:ascii="Arial" w:hAnsi="Arial" w:cs="Arial"/>
          <w:color w:val="000000"/>
          <w:szCs w:val="21"/>
        </w:rPr>
      </w:pPr>
      <w:r>
        <w:rPr>
          <w:b/>
          <w:kern w:val="0"/>
        </w:rPr>
        <w:t>第</w:t>
      </w:r>
      <w:r>
        <w:rPr>
          <w:rFonts w:hint="eastAsia"/>
          <w:b/>
          <w:kern w:val="0"/>
        </w:rPr>
        <w:t>九</w:t>
      </w:r>
      <w:r>
        <w:rPr>
          <w:b/>
          <w:kern w:val="0"/>
        </w:rPr>
        <w:t>条</w:t>
      </w:r>
      <w:r>
        <w:rPr>
          <w:kern w:val="0"/>
        </w:rPr>
        <w:t xml:space="preserve">  </w:t>
      </w:r>
      <w:r>
        <w:rPr>
          <w:rFonts w:ascii="Arial" w:hAnsi="宋体" w:cs="Arial"/>
          <w:color w:val="000000"/>
          <w:szCs w:val="21"/>
        </w:rPr>
        <w:t>有意愿申请国家奖学金的研究生，本人应如实填写《研究生国家奖学金申请审批表》，向所在学院评审委员会提出申请。在评选期内获得的科研成果均需附佐证材料，所填科研成果须为申请者在读期间（与申请奖项层次相对应）获得。博士研究生须提交</w:t>
      </w:r>
      <w:r>
        <w:rPr>
          <w:rFonts w:ascii="Arial" w:hAnsi="Arial" w:cs="Arial"/>
          <w:color w:val="000000"/>
          <w:szCs w:val="21"/>
        </w:rPr>
        <w:t>2</w:t>
      </w:r>
      <w:r>
        <w:rPr>
          <w:rFonts w:ascii="Arial" w:hAnsi="宋体" w:cs="Arial"/>
          <w:color w:val="000000"/>
          <w:szCs w:val="21"/>
        </w:rPr>
        <w:t>封同行专家推荐信，其中</w:t>
      </w:r>
      <w:r>
        <w:rPr>
          <w:rFonts w:ascii="Arial" w:hAnsi="Arial" w:cs="Arial"/>
          <w:color w:val="000000"/>
          <w:szCs w:val="21"/>
        </w:rPr>
        <w:t>1</w:t>
      </w:r>
      <w:r>
        <w:rPr>
          <w:rFonts w:ascii="Arial" w:hAnsi="宋体" w:cs="Arial"/>
          <w:color w:val="000000"/>
          <w:szCs w:val="21"/>
        </w:rPr>
        <w:t>封由境外高校专家撰写；硕士研究生须提交</w:t>
      </w:r>
      <w:r>
        <w:rPr>
          <w:rFonts w:ascii="Arial" w:hAnsi="Arial" w:cs="Arial"/>
          <w:color w:val="000000"/>
          <w:szCs w:val="21"/>
        </w:rPr>
        <w:t>1</w:t>
      </w:r>
      <w:r>
        <w:rPr>
          <w:rFonts w:ascii="Arial" w:hAnsi="宋体" w:cs="Arial"/>
          <w:color w:val="000000"/>
          <w:szCs w:val="21"/>
        </w:rPr>
        <w:t>封校外专家推荐信。撰写推荐信的专家必须具有正高职称，对申请者的研究领域要有较深入的了解。</w:t>
      </w:r>
    </w:p>
    <w:p>
      <w:pPr>
        <w:spacing w:line="276" w:lineRule="auto"/>
        <w:ind w:firstLine="420" w:firstLineChars="200"/>
        <w:rPr>
          <w:rFonts w:ascii="Arial" w:hAnsi="Arial" w:cs="Arial"/>
          <w:color w:val="000000"/>
          <w:szCs w:val="21"/>
        </w:rPr>
      </w:pPr>
      <w:r>
        <w:rPr>
          <w:rFonts w:ascii="Arial" w:hAnsi="宋体" w:cs="Arial"/>
          <w:color w:val="000000"/>
          <w:szCs w:val="21"/>
        </w:rPr>
        <w:t>硕博连读研究生在注册为博士研究生之前，或通过攻读博士学位资格考试前，按照硕士研究生身份申请国家奖学金；注册为博士研究生后，或已经通过攻读博士学位资格考试后，按照博士研究生身份申请国家奖学金。</w:t>
      </w:r>
    </w:p>
    <w:p>
      <w:pPr>
        <w:widowControl/>
        <w:autoSpaceDE w:val="0"/>
        <w:autoSpaceDN w:val="0"/>
        <w:adjustRightInd w:val="0"/>
        <w:spacing w:line="360" w:lineRule="auto"/>
        <w:jc w:val="left"/>
        <w:rPr>
          <w:rFonts w:ascii="Arial" w:hAnsi="宋体" w:cs="Arial"/>
          <w:color w:val="000000"/>
          <w:szCs w:val="21"/>
        </w:rPr>
      </w:pPr>
      <w:r>
        <w:rPr>
          <w:b/>
          <w:kern w:val="0"/>
          <w:szCs w:val="21"/>
        </w:rPr>
        <w:t>第十条</w:t>
      </w:r>
      <w:r>
        <w:rPr>
          <w:kern w:val="0"/>
          <w:szCs w:val="21"/>
        </w:rPr>
        <w:t xml:space="preserve">  </w:t>
      </w:r>
      <w:r>
        <w:rPr>
          <w:rFonts w:ascii="Arial" w:hAnsi="宋体" w:cs="Arial"/>
          <w:color w:val="000000"/>
          <w:szCs w:val="21"/>
        </w:rPr>
        <w:t>研究生国家奖学金的评审工作，应坚持公开、公平、公正、择优的原则，严格执行国家有关教育法规，杜绝弄虚作假。</w:t>
      </w:r>
    </w:p>
    <w:p>
      <w:pPr>
        <w:spacing w:line="276" w:lineRule="auto"/>
        <w:rPr>
          <w:rFonts w:hint="eastAsia" w:ascii="Arial" w:hAnsi="Arial" w:cs="Arial"/>
          <w:color w:val="000000"/>
          <w:szCs w:val="21"/>
        </w:rPr>
      </w:pPr>
      <w:r>
        <w:rPr>
          <w:b/>
        </w:rPr>
        <w:t>第十</w:t>
      </w:r>
      <w:r>
        <w:rPr>
          <w:rFonts w:hint="eastAsia"/>
          <w:b/>
        </w:rPr>
        <w:t>一</w:t>
      </w:r>
      <w:r>
        <w:rPr>
          <w:b/>
        </w:rPr>
        <w:t>条</w:t>
      </w:r>
      <w:r>
        <w:t xml:space="preserve"> </w:t>
      </w:r>
      <w:r>
        <w:rPr>
          <w:rFonts w:hint="eastAsia"/>
        </w:rPr>
        <w:t xml:space="preserve"> </w:t>
      </w:r>
      <w:r>
        <w:rPr>
          <w:rFonts w:ascii="Arial" w:hAnsi="宋体" w:cs="Arial"/>
          <w:color w:val="000000"/>
          <w:szCs w:val="21"/>
        </w:rPr>
        <w:t>学院评审委员会主任委员负责组织委员会委员对申请国家奖学金的学生进行初步评审，评审过程中应充分尊重本学院学术组织、研究生导师的推荐意见。学院评审委员会确定本单位获奖学生名单后，应在学院进行不少于</w:t>
      </w:r>
      <w:r>
        <w:rPr>
          <w:rFonts w:ascii="Arial" w:hAnsi="Arial" w:cs="Arial"/>
          <w:color w:val="000000"/>
          <w:szCs w:val="21"/>
        </w:rPr>
        <w:t>5</w:t>
      </w:r>
      <w:r>
        <w:rPr>
          <w:rFonts w:ascii="Arial" w:hAnsi="宋体" w:cs="Arial"/>
          <w:color w:val="000000"/>
          <w:szCs w:val="21"/>
        </w:rPr>
        <w:t>个工作日的公示。公示无异议后，将申请者材料和名单提交学校评奖评优委员会审定，审定结果在全校范围内进行不少于</w:t>
      </w:r>
      <w:r>
        <w:rPr>
          <w:rFonts w:ascii="Arial" w:hAnsi="Arial" w:cs="Arial"/>
          <w:color w:val="000000"/>
          <w:szCs w:val="21"/>
        </w:rPr>
        <w:t>5</w:t>
      </w:r>
      <w:r>
        <w:rPr>
          <w:rFonts w:ascii="Arial" w:hAnsi="宋体" w:cs="Arial"/>
          <w:color w:val="000000"/>
          <w:szCs w:val="21"/>
        </w:rPr>
        <w:t>个工作日的公示。</w:t>
      </w:r>
    </w:p>
    <w:p>
      <w:pPr>
        <w:widowControl/>
        <w:spacing w:line="400" w:lineRule="exact"/>
        <w:jc w:val="left"/>
        <w:rPr>
          <w:kern w:val="0"/>
        </w:rPr>
      </w:pPr>
      <w:r>
        <w:rPr>
          <w:b/>
          <w:kern w:val="0"/>
          <w:szCs w:val="21"/>
        </w:rPr>
        <w:t>第十</w:t>
      </w:r>
      <w:r>
        <w:rPr>
          <w:rFonts w:hint="eastAsia"/>
          <w:b/>
          <w:kern w:val="0"/>
          <w:szCs w:val="21"/>
        </w:rPr>
        <w:t>二</w:t>
      </w:r>
      <w:r>
        <w:rPr>
          <w:b/>
          <w:kern w:val="0"/>
          <w:szCs w:val="21"/>
        </w:rPr>
        <w:t xml:space="preserve">条  </w:t>
      </w:r>
      <w:r>
        <w:rPr>
          <w:rFonts w:ascii="Arial" w:hAnsi="宋体" w:cs="Arial"/>
          <w:color w:val="000000"/>
          <w:szCs w:val="21"/>
        </w:rPr>
        <w:t>对研究生国家奖学金评审结果有异议的学生，可在学院公示阶段向所在学院评奖评优委员会提出申诉，学院评奖评优委员会应及时研究并予以答复。如学生对学院做出的答复仍存在异议，可在学校公示阶段向学校评奖评优工作小组提请裁决。</w:t>
      </w:r>
    </w:p>
    <w:p>
      <w:pPr>
        <w:widowControl/>
        <w:spacing w:line="400" w:lineRule="exact"/>
        <w:jc w:val="left"/>
      </w:pPr>
      <w:r>
        <w:rPr>
          <w:b/>
        </w:rPr>
        <w:t>第十</w:t>
      </w:r>
      <w:r>
        <w:rPr>
          <w:rFonts w:hint="eastAsia"/>
          <w:b/>
        </w:rPr>
        <w:t>三</w:t>
      </w:r>
      <w:r>
        <w:rPr>
          <w:b/>
        </w:rPr>
        <w:t>条</w:t>
      </w:r>
      <w:r>
        <w:t xml:space="preserve">  本办法自2018年9月开始执行，若国家或学校有新的政策文件，以新政为准。</w:t>
      </w:r>
    </w:p>
    <w:p>
      <w:pPr>
        <w:widowControl/>
        <w:spacing w:line="480" w:lineRule="auto"/>
        <w:jc w:val="center"/>
        <w:rPr>
          <w:b/>
          <w:bCs/>
          <w:kern w:val="0"/>
          <w:sz w:val="32"/>
          <w:szCs w:val="32"/>
        </w:rPr>
      </w:pPr>
    </w:p>
    <w:p>
      <w:pPr>
        <w:widowControl/>
        <w:spacing w:line="480" w:lineRule="auto"/>
        <w:jc w:val="center"/>
        <w:rPr>
          <w:b/>
          <w:bCs/>
          <w:kern w:val="0"/>
          <w:sz w:val="32"/>
          <w:szCs w:val="32"/>
        </w:rPr>
      </w:pPr>
    </w:p>
    <w:p>
      <w:pPr>
        <w:widowControl/>
        <w:spacing w:line="480" w:lineRule="auto"/>
        <w:jc w:val="center"/>
        <w:rPr>
          <w:b/>
          <w:bCs/>
          <w:kern w:val="0"/>
          <w:sz w:val="32"/>
          <w:szCs w:val="32"/>
        </w:rPr>
      </w:pPr>
    </w:p>
    <w:p>
      <w:pPr>
        <w:widowControl/>
        <w:spacing w:line="480" w:lineRule="auto"/>
        <w:jc w:val="center"/>
        <w:rPr>
          <w:b/>
          <w:bCs/>
          <w:kern w:val="0"/>
          <w:sz w:val="32"/>
          <w:szCs w:val="32"/>
        </w:rPr>
      </w:pPr>
    </w:p>
    <w:p>
      <w:pPr>
        <w:widowControl/>
        <w:spacing w:line="480" w:lineRule="auto"/>
        <w:jc w:val="center"/>
        <w:rPr>
          <w:b/>
          <w:bCs/>
          <w:kern w:val="0"/>
          <w:sz w:val="32"/>
          <w:szCs w:val="32"/>
        </w:rPr>
      </w:pPr>
    </w:p>
    <w:p>
      <w:pPr>
        <w:widowControl/>
        <w:spacing w:line="480" w:lineRule="auto"/>
        <w:jc w:val="center"/>
        <w:rPr>
          <w:b/>
          <w:bCs/>
          <w:kern w:val="0"/>
          <w:sz w:val="32"/>
          <w:szCs w:val="32"/>
        </w:rPr>
      </w:pPr>
    </w:p>
    <w:p>
      <w:pPr>
        <w:widowControl/>
        <w:spacing w:line="480" w:lineRule="auto"/>
        <w:jc w:val="center"/>
        <w:rPr>
          <w:b/>
          <w:bCs/>
          <w:kern w:val="0"/>
          <w:sz w:val="32"/>
          <w:szCs w:val="32"/>
        </w:rPr>
      </w:pPr>
    </w:p>
    <w:p>
      <w:pPr>
        <w:widowControl/>
        <w:spacing w:line="480" w:lineRule="auto"/>
        <w:jc w:val="center"/>
        <w:rPr>
          <w:b/>
          <w:bCs/>
          <w:kern w:val="0"/>
          <w:sz w:val="32"/>
          <w:szCs w:val="32"/>
        </w:rPr>
      </w:pPr>
    </w:p>
    <w:p>
      <w:pPr>
        <w:widowControl/>
        <w:spacing w:line="480" w:lineRule="auto"/>
        <w:jc w:val="center"/>
        <w:rPr>
          <w:b/>
          <w:bCs/>
          <w:kern w:val="0"/>
          <w:sz w:val="32"/>
          <w:szCs w:val="32"/>
        </w:rPr>
      </w:pPr>
    </w:p>
    <w:p>
      <w:pPr>
        <w:widowControl/>
        <w:spacing w:line="480" w:lineRule="auto"/>
        <w:jc w:val="center"/>
        <w:rPr>
          <w:b/>
          <w:bCs/>
          <w:kern w:val="0"/>
          <w:sz w:val="32"/>
          <w:szCs w:val="32"/>
        </w:rPr>
      </w:pPr>
    </w:p>
    <w:p>
      <w:pPr>
        <w:widowControl/>
        <w:spacing w:line="480" w:lineRule="auto"/>
        <w:jc w:val="center"/>
        <w:rPr>
          <w:b/>
          <w:bCs/>
          <w:kern w:val="0"/>
          <w:sz w:val="32"/>
          <w:szCs w:val="32"/>
        </w:rPr>
      </w:pPr>
    </w:p>
    <w:p>
      <w:pPr>
        <w:widowControl/>
        <w:spacing w:line="480" w:lineRule="auto"/>
        <w:jc w:val="center"/>
        <w:rPr>
          <w:b/>
          <w:bCs/>
          <w:kern w:val="0"/>
          <w:sz w:val="32"/>
          <w:szCs w:val="32"/>
        </w:rPr>
      </w:pPr>
    </w:p>
    <w:p>
      <w:pPr>
        <w:spacing w:before="156" w:beforeLines="50" w:after="156" w:afterLines="50" w:line="360" w:lineRule="auto"/>
        <w:rPr>
          <w:b/>
          <w:bCs/>
        </w:rPr>
      </w:pPr>
      <w:r>
        <w:rPr>
          <w:b/>
          <w:bCs/>
        </w:rPr>
        <w:t>附件1：经济管理学院研究生</w:t>
      </w:r>
      <w:r>
        <w:rPr>
          <w:rFonts w:hint="eastAsia"/>
          <w:b/>
          <w:bCs/>
        </w:rPr>
        <w:t>国家奖学金评选</w:t>
      </w:r>
      <w:r>
        <w:rPr>
          <w:b/>
          <w:bCs/>
        </w:rPr>
        <w:t>计分表</w:t>
      </w:r>
    </w:p>
    <w:tbl>
      <w:tblPr>
        <w:tblStyle w:val="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8"/>
        <w:gridCol w:w="520"/>
        <w:gridCol w:w="3969"/>
        <w:gridCol w:w="425"/>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trPr>
        <w:tc>
          <w:tcPr>
            <w:tcW w:w="4957"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rPr>
            </w:pPr>
            <w:r>
              <w:rPr>
                <w:sz w:val="18"/>
              </w:rPr>
              <w:t>项目</w:t>
            </w:r>
          </w:p>
        </w:tc>
        <w:tc>
          <w:tcPr>
            <w:tcW w:w="4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rPr>
            </w:pPr>
            <w:r>
              <w:rPr>
                <w:sz w:val="18"/>
              </w:rPr>
              <w:t>分值</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exact"/>
        </w:trPr>
        <w:tc>
          <w:tcPr>
            <w:tcW w:w="450" w:type="dxa"/>
            <w:vMerge w:val="restart"/>
            <w:tcBorders>
              <w:top w:val="single" w:color="auto" w:sz="4" w:space="0"/>
              <w:left w:val="single" w:color="auto" w:sz="4" w:space="0"/>
              <w:right w:val="single" w:color="auto" w:sz="4" w:space="0"/>
            </w:tcBorders>
            <w:vAlign w:val="center"/>
          </w:tcPr>
          <w:p>
            <w:pPr>
              <w:spacing w:line="360" w:lineRule="auto"/>
              <w:jc w:val="center"/>
              <w:rPr>
                <w:sz w:val="18"/>
              </w:rPr>
            </w:pPr>
            <w:r>
              <w:rPr>
                <w:rFonts w:hint="eastAsia"/>
                <w:sz w:val="18"/>
              </w:rPr>
              <w:t>学业奖学金</w:t>
            </w:r>
          </w:p>
        </w:tc>
        <w:tc>
          <w:tcPr>
            <w:tcW w:w="450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rPr>
            </w:pPr>
            <w:r>
              <w:rPr>
                <w:rFonts w:hint="eastAsia"/>
                <w:sz w:val="18"/>
              </w:rPr>
              <w:t>一等学业奖学金</w:t>
            </w:r>
          </w:p>
        </w:tc>
        <w:tc>
          <w:tcPr>
            <w:tcW w:w="4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rPr>
            </w:pPr>
            <w:r>
              <w:rPr>
                <w:rFonts w:hint="eastAsia"/>
                <w:sz w:val="18"/>
              </w:rPr>
              <w:t>1</w:t>
            </w:r>
            <w:r>
              <w:rPr>
                <w:sz w:val="18"/>
              </w:rPr>
              <w:t>0</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exact"/>
        </w:trPr>
        <w:tc>
          <w:tcPr>
            <w:tcW w:w="450" w:type="dxa"/>
            <w:vMerge w:val="continue"/>
            <w:tcBorders>
              <w:left w:val="single" w:color="auto" w:sz="4" w:space="0"/>
              <w:bottom w:val="single" w:color="auto" w:sz="4" w:space="0"/>
              <w:right w:val="single" w:color="auto" w:sz="4" w:space="0"/>
            </w:tcBorders>
            <w:vAlign w:val="center"/>
          </w:tcPr>
          <w:p>
            <w:pPr>
              <w:spacing w:line="360" w:lineRule="auto"/>
              <w:jc w:val="center"/>
              <w:rPr>
                <w:sz w:val="18"/>
              </w:rPr>
            </w:pPr>
          </w:p>
        </w:tc>
        <w:tc>
          <w:tcPr>
            <w:tcW w:w="450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rPr>
            </w:pPr>
            <w:r>
              <w:rPr>
                <w:rFonts w:hint="eastAsia"/>
                <w:sz w:val="18"/>
              </w:rPr>
              <w:t>二等学业奖学金</w:t>
            </w:r>
          </w:p>
        </w:tc>
        <w:tc>
          <w:tcPr>
            <w:tcW w:w="4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rPr>
            </w:pPr>
            <w:r>
              <w:rPr>
                <w:rFonts w:hint="eastAsia"/>
                <w:sz w:val="18"/>
              </w:rPr>
              <w:t>5</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exact"/>
        </w:trPr>
        <w:tc>
          <w:tcPr>
            <w:tcW w:w="468" w:type="dxa"/>
            <w:gridSpan w:val="2"/>
            <w:vMerge w:val="restart"/>
            <w:tcBorders>
              <w:left w:val="single" w:color="auto" w:sz="4" w:space="0"/>
              <w:right w:val="single" w:color="auto" w:sz="4" w:space="0"/>
            </w:tcBorders>
            <w:vAlign w:val="center"/>
          </w:tcPr>
          <w:p>
            <w:pPr>
              <w:spacing w:line="360" w:lineRule="auto"/>
              <w:jc w:val="center"/>
              <w:rPr>
                <w:sz w:val="18"/>
                <w:szCs w:val="18"/>
              </w:rPr>
            </w:pPr>
            <w:r>
              <w:rPr>
                <w:rFonts w:hint="eastAsia"/>
                <w:sz w:val="18"/>
                <w:szCs w:val="18"/>
              </w:rPr>
              <w:t>科研成果</w:t>
            </w:r>
          </w:p>
        </w:tc>
        <w:tc>
          <w:tcPr>
            <w:tcW w:w="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rFonts w:hint="eastAsia"/>
                <w:sz w:val="18"/>
                <w:szCs w:val="18"/>
              </w:rPr>
              <w:t>发明专利</w:t>
            </w:r>
          </w:p>
        </w:tc>
        <w:tc>
          <w:tcPr>
            <w:tcW w:w="39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获得发明专利（有证书）</w:t>
            </w:r>
          </w:p>
        </w:tc>
        <w:tc>
          <w:tcPr>
            <w:tcW w:w="4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30</w:t>
            </w:r>
          </w:p>
        </w:tc>
        <w:tc>
          <w:tcPr>
            <w:tcW w:w="3685" w:type="dxa"/>
            <w:tcBorders>
              <w:top w:val="single" w:color="auto" w:sz="4" w:space="0"/>
              <w:left w:val="single" w:color="auto" w:sz="4" w:space="0"/>
              <w:right w:val="single" w:color="auto" w:sz="4" w:space="0"/>
            </w:tcBorders>
            <w:vAlign w:val="center"/>
          </w:tcPr>
          <w:p>
            <w:pPr>
              <w:spacing w:line="360" w:lineRule="auto"/>
              <w:rPr>
                <w:sz w:val="18"/>
                <w:szCs w:val="18"/>
              </w:rPr>
            </w:pPr>
            <w:r>
              <w:rPr>
                <w:sz w:val="18"/>
                <w:szCs w:val="18"/>
              </w:rPr>
              <w:t>为第一完成人或第二完成人（第一完成人为导师）加全分，第二完成人（第一完成人非导师）分值减半，第三完成人分值再减半。排名第四完成人以后（含第四）不计分。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exact"/>
        </w:trPr>
        <w:tc>
          <w:tcPr>
            <w:tcW w:w="468" w:type="dxa"/>
            <w:gridSpan w:val="2"/>
            <w:vMerge w:val="continue"/>
            <w:tcBorders>
              <w:left w:val="single" w:color="auto" w:sz="4" w:space="0"/>
              <w:right w:val="single" w:color="auto" w:sz="4" w:space="0"/>
            </w:tcBorders>
            <w:vAlign w:val="center"/>
          </w:tcPr>
          <w:p>
            <w:pPr>
              <w:spacing w:line="360" w:lineRule="auto"/>
              <w:jc w:val="center"/>
              <w:rPr>
                <w:sz w:val="18"/>
                <w:szCs w:val="18"/>
              </w:rPr>
            </w:pPr>
          </w:p>
        </w:tc>
        <w:tc>
          <w:tcPr>
            <w:tcW w:w="520" w:type="dxa"/>
            <w:vMerge w:val="restart"/>
            <w:tcBorders>
              <w:top w:val="single" w:color="auto" w:sz="4" w:space="0"/>
              <w:left w:val="single" w:color="auto" w:sz="4" w:space="0"/>
              <w:right w:val="single" w:color="auto" w:sz="4" w:space="0"/>
            </w:tcBorders>
            <w:vAlign w:val="center"/>
          </w:tcPr>
          <w:p>
            <w:pPr>
              <w:spacing w:line="360" w:lineRule="auto"/>
              <w:jc w:val="center"/>
              <w:rPr>
                <w:kern w:val="0"/>
                <w:sz w:val="18"/>
                <w:szCs w:val="18"/>
              </w:rPr>
            </w:pPr>
            <w:r>
              <w:rPr>
                <w:kern w:val="0"/>
                <w:sz w:val="18"/>
                <w:szCs w:val="18"/>
              </w:rPr>
              <w:t>研究论</w:t>
            </w:r>
          </w:p>
          <w:p>
            <w:pPr>
              <w:spacing w:line="360" w:lineRule="auto"/>
              <w:jc w:val="center"/>
              <w:rPr>
                <w:kern w:val="0"/>
                <w:sz w:val="18"/>
                <w:szCs w:val="18"/>
              </w:rPr>
            </w:pPr>
            <w:r>
              <w:rPr>
                <w:kern w:val="0"/>
                <w:sz w:val="18"/>
                <w:szCs w:val="18"/>
              </w:rPr>
              <w:t>文</w:t>
            </w:r>
          </w:p>
          <w:p>
            <w:pPr>
              <w:spacing w:line="360" w:lineRule="auto"/>
              <w:jc w:val="center"/>
              <w:rPr>
                <w:kern w:val="0"/>
                <w:sz w:val="18"/>
                <w:szCs w:val="18"/>
              </w:rPr>
            </w:pPr>
            <w:r>
              <w:rPr>
                <w:kern w:val="0"/>
                <w:sz w:val="18"/>
                <w:szCs w:val="18"/>
              </w:rPr>
              <w:t>发</w:t>
            </w:r>
          </w:p>
          <w:p>
            <w:pPr>
              <w:spacing w:line="360" w:lineRule="auto"/>
              <w:rPr>
                <w:sz w:val="18"/>
                <w:szCs w:val="18"/>
              </w:rPr>
            </w:pPr>
            <w:r>
              <w:rPr>
                <w:kern w:val="0"/>
                <w:sz w:val="18"/>
                <w:szCs w:val="18"/>
              </w:rPr>
              <w:t>表</w:t>
            </w:r>
          </w:p>
        </w:tc>
        <w:tc>
          <w:tcPr>
            <w:tcW w:w="3969"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论文被SCI</w:t>
            </w:r>
            <w:r>
              <w:rPr>
                <w:rFonts w:hint="eastAsia"/>
                <w:sz w:val="18"/>
                <w:szCs w:val="18"/>
              </w:rPr>
              <w:t>、SSCI收录</w:t>
            </w:r>
            <w:r>
              <w:rPr>
                <w:sz w:val="18"/>
                <w:szCs w:val="18"/>
              </w:rPr>
              <w:t>期刊正式公开发表（不含会议论文）</w:t>
            </w:r>
          </w:p>
        </w:tc>
        <w:tc>
          <w:tcPr>
            <w:tcW w:w="4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50</w:t>
            </w:r>
          </w:p>
        </w:tc>
        <w:tc>
          <w:tcPr>
            <w:tcW w:w="3685" w:type="dxa"/>
            <w:vMerge w:val="restart"/>
            <w:tcBorders>
              <w:top w:val="single" w:color="auto" w:sz="4" w:space="0"/>
              <w:left w:val="single" w:color="auto" w:sz="4" w:space="0"/>
              <w:right w:val="single" w:color="auto" w:sz="4" w:space="0"/>
            </w:tcBorders>
            <w:vAlign w:val="center"/>
          </w:tcPr>
          <w:p>
            <w:pPr>
              <w:wordWrap w:val="0"/>
              <w:spacing w:line="360" w:lineRule="auto"/>
              <w:jc w:val="left"/>
              <w:rPr>
                <w:sz w:val="18"/>
                <w:szCs w:val="18"/>
              </w:rPr>
            </w:pPr>
            <w:r>
              <w:rPr>
                <w:sz w:val="18"/>
                <w:szCs w:val="18"/>
              </w:rPr>
              <w:t>1.</w:t>
            </w:r>
            <w:r>
              <w:rPr>
                <w:rFonts w:hint="eastAsia"/>
                <w:sz w:val="18"/>
                <w:szCs w:val="18"/>
              </w:rPr>
              <w:t xml:space="preserve"> </w:t>
            </w:r>
            <w:r>
              <w:rPr>
                <w:sz w:val="18"/>
                <w:szCs w:val="18"/>
              </w:rPr>
              <w:t>查询以图书馆</w:t>
            </w:r>
            <w:r>
              <w:fldChar w:fldCharType="begin"/>
            </w:r>
            <w:r>
              <w:instrText xml:space="preserve"> HYPERLINK "http://202.121.66.120:808/url_xd.asp?cid=16&amp;typeid=9062&amp;link=http%3a%2f%2fe-resource.shou.edu.cn%2flogin%3furl%3dhttp%3a%2f%2fwww.webofknowledge.com%2f" \t "_blank" \o "Web of Science" </w:instrText>
            </w:r>
            <w:r>
              <w:fldChar w:fldCharType="separate"/>
            </w:r>
            <w:r>
              <w:rPr>
                <w:sz w:val="18"/>
                <w:szCs w:val="18"/>
              </w:rPr>
              <w:t>Web of Science</w:t>
            </w:r>
            <w:r>
              <w:rPr>
                <w:sz w:val="18"/>
                <w:szCs w:val="18"/>
              </w:rPr>
              <w:fldChar w:fldCharType="end"/>
            </w:r>
            <w:r>
              <w:rPr>
                <w:sz w:val="18"/>
                <w:szCs w:val="18"/>
              </w:rPr>
              <w:t>数据库为准，查询网址为：</w:t>
            </w:r>
          </w:p>
          <w:p>
            <w:pPr>
              <w:spacing w:line="360" w:lineRule="auto"/>
              <w:ind w:left="-2" w:leftChars="-1"/>
              <w:rPr>
                <w:sz w:val="18"/>
                <w:szCs w:val="18"/>
              </w:rPr>
            </w:pPr>
            <w:r>
              <w:rPr>
                <w:sz w:val="18"/>
                <w:szCs w:val="18"/>
              </w:rPr>
              <w:t>http://apps.webofknowledge.com/UA_GeneralSearch_input.do?product=UA&amp;search_mode=GeneralSearch&amp;SID=S1pl1t9GaudUaVHsecN&amp;preferencesSaved=；影响因子以最新年度SCI公布为准；须加附本校图书馆有效检索证明，验原件，交复印件</w:t>
            </w:r>
            <w:r>
              <w:rPr>
                <w:rFonts w:hint="eastAsia"/>
                <w:sz w:val="18"/>
                <w:szCs w:val="18"/>
              </w:rPr>
              <w:t>；</w:t>
            </w:r>
          </w:p>
          <w:p>
            <w:pPr>
              <w:spacing w:line="360" w:lineRule="auto"/>
              <w:ind w:left="-2" w:leftChars="-1"/>
              <w:rPr>
                <w:sz w:val="18"/>
                <w:szCs w:val="18"/>
              </w:rPr>
            </w:pPr>
            <w:r>
              <w:rPr>
                <w:sz w:val="18"/>
                <w:szCs w:val="18"/>
              </w:rPr>
              <w:t>2.</w:t>
            </w:r>
            <w:r>
              <w:rPr>
                <w:rFonts w:hint="eastAsia"/>
                <w:sz w:val="18"/>
                <w:szCs w:val="18"/>
              </w:rPr>
              <w:t xml:space="preserve"> </w:t>
            </w:r>
            <w:r>
              <w:rPr>
                <w:sz w:val="18"/>
                <w:szCs w:val="18"/>
              </w:rPr>
              <w:t>SSCI、EI、ISTP、A&amp;H须加附本校图书馆的EI英文期刊论文检索证明，验原件，交复印件</w:t>
            </w:r>
            <w:r>
              <w:rPr>
                <w:rFonts w:hint="eastAsia"/>
                <w:sz w:val="18"/>
                <w:szCs w:val="18"/>
              </w:rPr>
              <w:t>；</w:t>
            </w:r>
          </w:p>
          <w:p>
            <w:pPr>
              <w:spacing w:line="360" w:lineRule="auto"/>
              <w:ind w:left="-2" w:leftChars="-1"/>
              <w:rPr>
                <w:sz w:val="18"/>
                <w:szCs w:val="18"/>
              </w:rPr>
            </w:pPr>
            <w:r>
              <w:rPr>
                <w:sz w:val="18"/>
                <w:szCs w:val="18"/>
              </w:rPr>
              <w:t>3.</w:t>
            </w:r>
            <w:r>
              <w:rPr>
                <w:rFonts w:hint="eastAsia"/>
                <w:sz w:val="18"/>
                <w:szCs w:val="18"/>
              </w:rPr>
              <w:t xml:space="preserve"> </w:t>
            </w:r>
            <w:r>
              <w:rPr>
                <w:sz w:val="18"/>
                <w:szCs w:val="18"/>
              </w:rPr>
              <w:t>以第一作者或第二作者且导师为第一作者发表在公开发行刊物（有ISSN号）的论文有效；增刊、专刊无效</w:t>
            </w:r>
            <w:r>
              <w:rPr>
                <w:rFonts w:hint="eastAsia"/>
                <w:sz w:val="18"/>
                <w:szCs w:val="18"/>
              </w:rPr>
              <w:t>；</w:t>
            </w:r>
            <w:r>
              <w:rPr>
                <w:sz w:val="18"/>
                <w:szCs w:val="18"/>
              </w:rPr>
              <w:t>正式发表的论文有效，收录证明无效</w:t>
            </w:r>
            <w:r>
              <w:rPr>
                <w:rFonts w:hint="eastAsia"/>
                <w:sz w:val="18"/>
                <w:szCs w:val="18"/>
              </w:rPr>
              <w:t>；</w:t>
            </w:r>
          </w:p>
          <w:p>
            <w:pPr>
              <w:spacing w:line="360" w:lineRule="auto"/>
              <w:rPr>
                <w:sz w:val="18"/>
                <w:szCs w:val="18"/>
              </w:rPr>
            </w:pPr>
            <w:r>
              <w:rPr>
                <w:rFonts w:hint="eastAsia"/>
                <w:sz w:val="18"/>
                <w:szCs w:val="18"/>
              </w:rPr>
              <w:t>4</w:t>
            </w:r>
            <w:r>
              <w:rPr>
                <w:sz w:val="18"/>
                <w:szCs w:val="18"/>
              </w:rPr>
              <w:t>.</w:t>
            </w:r>
            <w:r>
              <w:rPr>
                <w:rFonts w:hint="eastAsia"/>
                <w:sz w:val="18"/>
                <w:szCs w:val="18"/>
              </w:rPr>
              <w:t xml:space="preserve"> </w:t>
            </w:r>
            <w:r>
              <w:rPr>
                <w:sz w:val="18"/>
                <w:szCs w:val="18"/>
              </w:rPr>
              <w:t>以外文发表的论文加1分</w:t>
            </w:r>
            <w:r>
              <w:rPr>
                <w:rFonts w:hint="eastAsia"/>
                <w:sz w:val="18"/>
                <w:szCs w:val="18"/>
              </w:rPr>
              <w:t>；</w:t>
            </w:r>
          </w:p>
          <w:p>
            <w:pPr>
              <w:spacing w:line="360" w:lineRule="auto"/>
              <w:rPr>
                <w:sz w:val="18"/>
                <w:szCs w:val="18"/>
              </w:rPr>
            </w:pPr>
            <w:r>
              <w:rPr>
                <w:rFonts w:hint="eastAsia"/>
                <w:sz w:val="18"/>
                <w:szCs w:val="18"/>
              </w:rPr>
              <w:t>5. 同一期刊分属不同库源得分以最高分计，不重复计分。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7" w:hRule="exact"/>
        </w:trPr>
        <w:tc>
          <w:tcPr>
            <w:tcW w:w="468" w:type="dxa"/>
            <w:gridSpan w:val="2"/>
            <w:vMerge w:val="continue"/>
            <w:tcBorders>
              <w:left w:val="single" w:color="auto" w:sz="4" w:space="0"/>
              <w:right w:val="single" w:color="auto" w:sz="4" w:space="0"/>
            </w:tcBorders>
            <w:vAlign w:val="center"/>
          </w:tcPr>
          <w:p>
            <w:pPr>
              <w:spacing w:line="360" w:lineRule="auto"/>
              <w:jc w:val="center"/>
              <w:rPr>
                <w:kern w:val="0"/>
                <w:sz w:val="18"/>
                <w:szCs w:val="18"/>
              </w:rPr>
            </w:pPr>
          </w:p>
        </w:tc>
        <w:tc>
          <w:tcPr>
            <w:tcW w:w="520" w:type="dxa"/>
            <w:vMerge w:val="continue"/>
            <w:tcBorders>
              <w:left w:val="single" w:color="auto" w:sz="4" w:space="0"/>
              <w:right w:val="single" w:color="auto" w:sz="4" w:space="0"/>
            </w:tcBorders>
            <w:vAlign w:val="center"/>
          </w:tcPr>
          <w:p>
            <w:pPr>
              <w:spacing w:line="360" w:lineRule="auto"/>
              <w:rPr>
                <w:sz w:val="18"/>
                <w:szCs w:val="18"/>
              </w:rPr>
            </w:pPr>
          </w:p>
        </w:tc>
        <w:tc>
          <w:tcPr>
            <w:tcW w:w="3969"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论文被EI、ISTP、A&amp;H收录期刊正式公开发表（不含会议论文）</w:t>
            </w:r>
          </w:p>
        </w:tc>
        <w:tc>
          <w:tcPr>
            <w:tcW w:w="4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30</w:t>
            </w:r>
          </w:p>
        </w:tc>
        <w:tc>
          <w:tcPr>
            <w:tcW w:w="3685" w:type="dxa"/>
            <w:vMerge w:val="continue"/>
            <w:tcBorders>
              <w:top w:val="single" w:color="auto" w:sz="4" w:space="0"/>
              <w:left w:val="single" w:color="auto" w:sz="4" w:space="0"/>
              <w:right w:val="single" w:color="auto" w:sz="4" w:space="0"/>
            </w:tcBorders>
            <w:vAlign w:val="center"/>
          </w:tcPr>
          <w:p>
            <w:pPr>
              <w:spacing w:line="360" w:lineRule="auto"/>
              <w:ind w:left="-2" w:leftChars="-1"/>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2" w:hRule="exact"/>
        </w:trPr>
        <w:tc>
          <w:tcPr>
            <w:tcW w:w="468" w:type="dxa"/>
            <w:gridSpan w:val="2"/>
            <w:vMerge w:val="continue"/>
            <w:tcBorders>
              <w:left w:val="single" w:color="auto" w:sz="4" w:space="0"/>
              <w:bottom w:val="single" w:color="auto" w:sz="4" w:space="0"/>
              <w:right w:val="single" w:color="auto" w:sz="4" w:space="0"/>
            </w:tcBorders>
            <w:vAlign w:val="center"/>
          </w:tcPr>
          <w:p>
            <w:pPr>
              <w:spacing w:line="360" w:lineRule="auto"/>
              <w:jc w:val="center"/>
              <w:rPr>
                <w:kern w:val="0"/>
                <w:sz w:val="18"/>
                <w:szCs w:val="18"/>
              </w:rPr>
            </w:pPr>
          </w:p>
        </w:tc>
        <w:tc>
          <w:tcPr>
            <w:tcW w:w="520" w:type="dxa"/>
            <w:vMerge w:val="continue"/>
            <w:tcBorders>
              <w:left w:val="single" w:color="auto" w:sz="4" w:space="0"/>
              <w:bottom w:val="single" w:color="auto" w:sz="4" w:space="0"/>
              <w:right w:val="single" w:color="auto" w:sz="4" w:space="0"/>
            </w:tcBorders>
            <w:vAlign w:val="center"/>
          </w:tcPr>
          <w:p>
            <w:pPr>
              <w:spacing w:line="360" w:lineRule="auto"/>
              <w:ind w:right="-94"/>
              <w:rPr>
                <w:sz w:val="18"/>
                <w:szCs w:val="18"/>
              </w:rPr>
            </w:pPr>
          </w:p>
        </w:tc>
        <w:tc>
          <w:tcPr>
            <w:tcW w:w="3969" w:type="dxa"/>
            <w:tcBorders>
              <w:top w:val="single" w:color="auto" w:sz="4" w:space="0"/>
              <w:left w:val="single" w:color="auto" w:sz="4" w:space="0"/>
              <w:bottom w:val="single" w:color="auto" w:sz="4" w:space="0"/>
              <w:right w:val="single" w:color="auto" w:sz="4" w:space="0"/>
            </w:tcBorders>
            <w:vAlign w:val="center"/>
          </w:tcPr>
          <w:p>
            <w:pPr>
              <w:spacing w:line="360" w:lineRule="auto"/>
              <w:ind w:right="-94"/>
              <w:rPr>
                <w:sz w:val="18"/>
                <w:szCs w:val="18"/>
              </w:rPr>
            </w:pPr>
            <w:r>
              <w:rPr>
                <w:sz w:val="18"/>
                <w:szCs w:val="18"/>
              </w:rPr>
              <w:t>在CSCD核心库或CSSCI核心库收录的刊物上发表论文</w:t>
            </w:r>
          </w:p>
        </w:tc>
        <w:tc>
          <w:tcPr>
            <w:tcW w:w="4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20</w:t>
            </w:r>
          </w:p>
        </w:tc>
        <w:tc>
          <w:tcPr>
            <w:tcW w:w="368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left="-2" w:leftChars="-1"/>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1" w:hRule="exact"/>
        </w:trPr>
        <w:tc>
          <w:tcPr>
            <w:tcW w:w="468" w:type="dxa"/>
            <w:gridSpan w:val="2"/>
            <w:tcBorders>
              <w:top w:val="single" w:color="auto" w:sz="4" w:space="0"/>
              <w:left w:val="single" w:color="auto" w:sz="4" w:space="0"/>
              <w:right w:val="single" w:color="auto" w:sz="4" w:space="0"/>
            </w:tcBorders>
            <w:vAlign w:val="center"/>
          </w:tcPr>
          <w:p>
            <w:pPr>
              <w:spacing w:line="360" w:lineRule="auto"/>
              <w:jc w:val="center"/>
              <w:rPr>
                <w:kern w:val="0"/>
                <w:sz w:val="18"/>
                <w:szCs w:val="18"/>
              </w:rPr>
            </w:pPr>
            <w:r>
              <w:rPr>
                <w:rFonts w:hint="eastAsia"/>
                <w:kern w:val="0"/>
                <w:sz w:val="18"/>
                <w:szCs w:val="18"/>
              </w:rPr>
              <w:t>其他</w:t>
            </w:r>
          </w:p>
        </w:tc>
        <w:tc>
          <w:tcPr>
            <w:tcW w:w="448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right="-94"/>
              <w:rPr>
                <w:sz w:val="18"/>
                <w:szCs w:val="18"/>
              </w:rPr>
            </w:pPr>
            <w:r>
              <w:rPr>
                <w:rFonts w:hint="eastAsia"/>
                <w:sz w:val="18"/>
                <w:szCs w:val="18"/>
              </w:rPr>
              <w:t>在满足科研成果加分项的条件下，其他科研成果、学术报告、赛事获奖等按照附件2《经济管理学院研究生科研成果计分表（C）》进行计分，总分不超过</w:t>
            </w:r>
            <w:r>
              <w:rPr>
                <w:sz w:val="18"/>
                <w:szCs w:val="18"/>
              </w:rPr>
              <w:t>20</w:t>
            </w:r>
            <w:r>
              <w:rPr>
                <w:rFonts w:hint="eastAsia"/>
                <w:sz w:val="18"/>
                <w:szCs w:val="18"/>
              </w:rPr>
              <w:t>分。</w:t>
            </w:r>
          </w:p>
        </w:tc>
        <w:tc>
          <w:tcPr>
            <w:tcW w:w="4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20</w:t>
            </w:r>
          </w:p>
        </w:tc>
        <w:tc>
          <w:tcPr>
            <w:tcW w:w="3685" w:type="dxa"/>
            <w:tcBorders>
              <w:top w:val="single" w:color="auto" w:sz="4" w:space="0"/>
              <w:left w:val="single" w:color="auto" w:sz="4" w:space="0"/>
              <w:right w:val="single" w:color="auto" w:sz="4" w:space="0"/>
            </w:tcBorders>
            <w:vAlign w:val="center"/>
          </w:tcPr>
          <w:p>
            <w:pPr>
              <w:spacing w:line="360" w:lineRule="auto"/>
              <w:ind w:left="-2" w:leftChars="-1"/>
              <w:rPr>
                <w:sz w:val="18"/>
                <w:szCs w:val="18"/>
              </w:rPr>
            </w:pPr>
          </w:p>
        </w:tc>
      </w:tr>
    </w:tbl>
    <w:p>
      <w:pPr>
        <w:spacing w:before="156" w:beforeLines="50" w:after="156" w:afterLines="50" w:line="360" w:lineRule="auto"/>
        <w:rPr>
          <w:rFonts w:hint="eastAsia"/>
        </w:rPr>
      </w:pPr>
    </w:p>
    <w:p>
      <w:pPr>
        <w:spacing w:before="156" w:beforeLines="50" w:after="156" w:afterLines="50" w:line="360" w:lineRule="auto"/>
        <w:rPr>
          <w:rFonts w:hint="eastAsia"/>
        </w:rPr>
      </w:pPr>
    </w:p>
    <w:p>
      <w:pPr>
        <w:spacing w:before="156" w:beforeLines="50" w:after="156" w:afterLines="50" w:line="360" w:lineRule="auto"/>
        <w:rPr>
          <w:b/>
          <w:bCs/>
        </w:rPr>
      </w:pPr>
      <w:r>
        <w:rPr>
          <w:b/>
          <w:bCs/>
        </w:rPr>
        <w:t>附件2：经济管理学院研究生科研成果计分表（C）</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176"/>
        <w:gridCol w:w="567"/>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trPr>
        <w:tc>
          <w:tcPr>
            <w:tcW w:w="464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rPr>
            </w:pPr>
            <w:r>
              <w:rPr>
                <w:sz w:val="18"/>
              </w:rPr>
              <w:t>项目</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rPr>
            </w:pPr>
            <w:r>
              <w:rPr>
                <w:sz w:val="18"/>
              </w:rPr>
              <w:t>分值</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exact"/>
        </w:trPr>
        <w:tc>
          <w:tcPr>
            <w:tcW w:w="468" w:type="dxa"/>
            <w:vMerge w:val="restart"/>
            <w:tcBorders>
              <w:top w:val="single" w:color="auto" w:sz="4" w:space="0"/>
              <w:left w:val="single" w:color="auto" w:sz="4" w:space="0"/>
              <w:right w:val="single" w:color="auto" w:sz="4" w:space="0"/>
            </w:tcBorders>
            <w:vAlign w:val="center"/>
          </w:tcPr>
          <w:p>
            <w:pPr>
              <w:spacing w:line="360" w:lineRule="auto"/>
              <w:jc w:val="center"/>
              <w:rPr>
                <w:sz w:val="18"/>
                <w:szCs w:val="18"/>
              </w:rPr>
            </w:pPr>
            <w:r>
              <w:rPr>
                <w:sz w:val="18"/>
                <w:szCs w:val="18"/>
              </w:rPr>
              <w:t>科</w:t>
            </w:r>
          </w:p>
          <w:p>
            <w:pPr>
              <w:spacing w:line="360" w:lineRule="auto"/>
              <w:jc w:val="center"/>
              <w:rPr>
                <w:sz w:val="18"/>
                <w:szCs w:val="18"/>
              </w:rPr>
            </w:pPr>
            <w:r>
              <w:rPr>
                <w:sz w:val="18"/>
                <w:szCs w:val="18"/>
              </w:rPr>
              <w:t>研</w:t>
            </w:r>
          </w:p>
          <w:p>
            <w:pPr>
              <w:spacing w:line="360" w:lineRule="auto"/>
              <w:jc w:val="center"/>
              <w:rPr>
                <w:sz w:val="18"/>
                <w:szCs w:val="18"/>
              </w:rPr>
            </w:pPr>
            <w:r>
              <w:rPr>
                <w:sz w:val="18"/>
                <w:szCs w:val="18"/>
              </w:rPr>
              <w:t>成果</w:t>
            </w: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国家级成果奖（自然科学奖、科技进步奖、技术发明奖、哲社成果奖、决策咨询奖）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100</w:t>
            </w:r>
          </w:p>
        </w:tc>
        <w:tc>
          <w:tcPr>
            <w:tcW w:w="3261" w:type="dxa"/>
            <w:vMerge w:val="restart"/>
            <w:tcBorders>
              <w:top w:val="single" w:color="auto" w:sz="4" w:space="0"/>
              <w:left w:val="single" w:color="auto" w:sz="4" w:space="0"/>
              <w:right w:val="single" w:color="auto" w:sz="4" w:space="0"/>
            </w:tcBorders>
            <w:vAlign w:val="center"/>
          </w:tcPr>
          <w:p>
            <w:pPr>
              <w:spacing w:line="360" w:lineRule="auto"/>
              <w:rPr>
                <w:sz w:val="18"/>
                <w:szCs w:val="18"/>
              </w:rPr>
            </w:pPr>
            <w:r>
              <w:rPr>
                <w:sz w:val="18"/>
                <w:szCs w:val="18"/>
              </w:rPr>
              <w:t>为主要完成人（前6名），排名第6之后者，排名每退后1位，加分分值减少50%。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部委、省市级成果奖（同上）</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50</w:t>
            </w:r>
          </w:p>
        </w:tc>
        <w:tc>
          <w:tcPr>
            <w:tcW w:w="3261" w:type="dxa"/>
            <w:vMerge w:val="continue"/>
            <w:tcBorders>
              <w:left w:val="single" w:color="auto" w:sz="4" w:space="0"/>
              <w:bottom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获得发明专利（有证书）</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30</w:t>
            </w:r>
          </w:p>
        </w:tc>
        <w:tc>
          <w:tcPr>
            <w:tcW w:w="3261" w:type="dxa"/>
            <w:vMerge w:val="restart"/>
            <w:tcBorders>
              <w:top w:val="single" w:color="auto" w:sz="4" w:space="0"/>
              <w:left w:val="single" w:color="auto" w:sz="4" w:space="0"/>
              <w:right w:val="single" w:color="auto" w:sz="4" w:space="0"/>
            </w:tcBorders>
            <w:vAlign w:val="center"/>
          </w:tcPr>
          <w:p>
            <w:pPr>
              <w:spacing w:line="360" w:lineRule="auto"/>
              <w:rPr>
                <w:sz w:val="18"/>
                <w:szCs w:val="18"/>
              </w:rPr>
            </w:pPr>
            <w:r>
              <w:rPr>
                <w:sz w:val="18"/>
                <w:szCs w:val="18"/>
              </w:rPr>
              <w:t>为第一完成人或第二完成人（第一完成人为导师）加全分，第二完成人（第一完成人非导师）分值减半，第三完成人分值再减半。排名第四完成人以后（含第四）不计分。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right w:val="single" w:color="auto" w:sz="4" w:space="0"/>
            </w:tcBorders>
            <w:vAlign w:val="center"/>
          </w:tcPr>
          <w:p>
            <w:pPr>
              <w:spacing w:line="360" w:lineRule="auto"/>
              <w:rPr>
                <w:spacing w:val="-10"/>
                <w:sz w:val="18"/>
                <w:szCs w:val="18"/>
              </w:rPr>
            </w:pPr>
            <w:r>
              <w:rPr>
                <w:spacing w:val="-10"/>
                <w:sz w:val="18"/>
                <w:szCs w:val="18"/>
              </w:rPr>
              <w:t>获得实用新型专利、外观设计专利或软件著作权（有证书）</w:t>
            </w:r>
          </w:p>
        </w:tc>
        <w:tc>
          <w:tcPr>
            <w:tcW w:w="567" w:type="dxa"/>
            <w:tcBorders>
              <w:top w:val="single" w:color="auto" w:sz="4" w:space="0"/>
              <w:left w:val="single" w:color="auto" w:sz="4" w:space="0"/>
              <w:right w:val="single" w:color="auto" w:sz="4" w:space="0"/>
            </w:tcBorders>
            <w:vAlign w:val="center"/>
          </w:tcPr>
          <w:p>
            <w:pPr>
              <w:spacing w:line="360" w:lineRule="auto"/>
              <w:jc w:val="center"/>
              <w:rPr>
                <w:sz w:val="18"/>
                <w:szCs w:val="18"/>
              </w:rPr>
            </w:pPr>
            <w:r>
              <w:rPr>
                <w:sz w:val="18"/>
                <w:szCs w:val="18"/>
              </w:rPr>
              <w:t>6</w:t>
            </w:r>
          </w:p>
        </w:tc>
        <w:tc>
          <w:tcPr>
            <w:tcW w:w="3261" w:type="dxa"/>
            <w:vMerge w:val="continue"/>
            <w:tcBorders>
              <w:left w:val="single" w:color="auto" w:sz="4" w:space="0"/>
              <w:right w:val="single" w:color="auto" w:sz="4" w:space="0"/>
            </w:tcBorders>
            <w:vAlign w:val="center"/>
          </w:tcPr>
          <w:p>
            <w:pPr>
              <w:spacing w:line="360" w:lineRule="auto"/>
              <w:ind w:left="-106" w:hanging="1"/>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exact"/>
        </w:trPr>
        <w:tc>
          <w:tcPr>
            <w:tcW w:w="46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学</w:t>
            </w:r>
          </w:p>
          <w:p>
            <w:pPr>
              <w:spacing w:line="360" w:lineRule="auto"/>
              <w:jc w:val="center"/>
              <w:rPr>
                <w:sz w:val="18"/>
                <w:szCs w:val="18"/>
              </w:rPr>
            </w:pPr>
            <w:r>
              <w:rPr>
                <w:sz w:val="18"/>
                <w:szCs w:val="18"/>
              </w:rPr>
              <w:t>术</w:t>
            </w:r>
          </w:p>
          <w:p>
            <w:pPr>
              <w:spacing w:line="360" w:lineRule="auto"/>
              <w:jc w:val="center"/>
              <w:rPr>
                <w:sz w:val="18"/>
                <w:szCs w:val="18"/>
              </w:rPr>
            </w:pPr>
            <w:r>
              <w:rPr>
                <w:sz w:val="18"/>
                <w:szCs w:val="18"/>
              </w:rPr>
              <w:t>交</w:t>
            </w:r>
          </w:p>
          <w:p>
            <w:pPr>
              <w:spacing w:line="360" w:lineRule="auto"/>
              <w:jc w:val="center"/>
              <w:rPr>
                <w:sz w:val="18"/>
                <w:szCs w:val="18"/>
              </w:rPr>
            </w:pPr>
            <w:r>
              <w:rPr>
                <w:sz w:val="18"/>
                <w:szCs w:val="18"/>
              </w:rPr>
              <w:t>流</w:t>
            </w: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rFonts w:hint="eastAsia"/>
                <w:sz w:val="18"/>
                <w:szCs w:val="18"/>
              </w:rPr>
              <w:t>赴境外参加学术会议</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rFonts w:hint="eastAsia"/>
                <w:sz w:val="18"/>
                <w:szCs w:val="18"/>
              </w:rPr>
              <w:t>5</w:t>
            </w:r>
          </w:p>
        </w:tc>
        <w:tc>
          <w:tcPr>
            <w:tcW w:w="3261" w:type="dxa"/>
            <w:vMerge w:val="restart"/>
            <w:tcBorders>
              <w:top w:val="single" w:color="auto" w:sz="4" w:space="0"/>
              <w:left w:val="single" w:color="auto" w:sz="4" w:space="0"/>
              <w:right w:val="single" w:color="auto" w:sz="4" w:space="0"/>
            </w:tcBorders>
            <w:vAlign w:val="center"/>
          </w:tcPr>
          <w:p>
            <w:pPr>
              <w:spacing w:line="360" w:lineRule="auto"/>
              <w:rPr>
                <w:sz w:val="18"/>
                <w:szCs w:val="18"/>
              </w:rPr>
            </w:pPr>
            <w:r>
              <w:rPr>
                <w:rFonts w:hint="eastAsia"/>
                <w:sz w:val="18"/>
                <w:szCs w:val="18"/>
              </w:rPr>
              <w:t>1. 境外学术会议、境内国际性学术会议、全国性学术会议交流得分总体不超过10分；</w:t>
            </w:r>
          </w:p>
          <w:p>
            <w:pPr>
              <w:spacing w:line="360" w:lineRule="auto"/>
              <w:rPr>
                <w:sz w:val="18"/>
                <w:szCs w:val="18"/>
              </w:rPr>
            </w:pPr>
            <w:r>
              <w:rPr>
                <w:rFonts w:hint="eastAsia"/>
                <w:sz w:val="18"/>
                <w:szCs w:val="18"/>
              </w:rPr>
              <w:t xml:space="preserve">2. </w:t>
            </w:r>
            <w:r>
              <w:rPr>
                <w:sz w:val="18"/>
                <w:szCs w:val="18"/>
              </w:rPr>
              <w:t>作为正式代表参加，并在大会上宣读论文加全分</w:t>
            </w:r>
            <w:r>
              <w:rPr>
                <w:rFonts w:hint="eastAsia"/>
                <w:sz w:val="18"/>
                <w:szCs w:val="18"/>
              </w:rPr>
              <w:t>；</w:t>
            </w:r>
          </w:p>
          <w:p>
            <w:pPr>
              <w:spacing w:line="360" w:lineRule="auto"/>
              <w:rPr>
                <w:sz w:val="18"/>
                <w:szCs w:val="18"/>
              </w:rPr>
            </w:pPr>
            <w:r>
              <w:rPr>
                <w:rFonts w:hint="eastAsia"/>
                <w:sz w:val="18"/>
                <w:szCs w:val="18"/>
              </w:rPr>
              <w:t xml:space="preserve">3. </w:t>
            </w:r>
            <w:r>
              <w:rPr>
                <w:sz w:val="18"/>
                <w:szCs w:val="18"/>
              </w:rPr>
              <w:t>论文获奖再加2分</w:t>
            </w:r>
            <w:r>
              <w:rPr>
                <w:rFonts w:hint="eastAsia"/>
                <w:sz w:val="18"/>
                <w:szCs w:val="18"/>
              </w:rPr>
              <w:t>；</w:t>
            </w:r>
          </w:p>
          <w:p>
            <w:pPr>
              <w:spacing w:line="360" w:lineRule="auto"/>
              <w:rPr>
                <w:sz w:val="18"/>
                <w:szCs w:val="18"/>
              </w:rPr>
            </w:pPr>
            <w:r>
              <w:rPr>
                <w:rFonts w:hint="eastAsia"/>
                <w:sz w:val="18"/>
                <w:szCs w:val="18"/>
              </w:rPr>
              <w:t xml:space="preserve">4. </w:t>
            </w:r>
            <w:r>
              <w:rPr>
                <w:sz w:val="18"/>
                <w:szCs w:val="18"/>
              </w:rPr>
              <w:t>外语宣读论文再加1分</w:t>
            </w:r>
            <w:r>
              <w:rPr>
                <w:rFonts w:hint="eastAsia"/>
                <w:sz w:val="18"/>
                <w:szCs w:val="18"/>
              </w:rPr>
              <w:t>；</w:t>
            </w:r>
          </w:p>
          <w:p>
            <w:pPr>
              <w:spacing w:line="360" w:lineRule="auto"/>
              <w:rPr>
                <w:sz w:val="18"/>
                <w:szCs w:val="18"/>
              </w:rPr>
            </w:pPr>
            <w:r>
              <w:rPr>
                <w:rFonts w:hint="eastAsia"/>
                <w:sz w:val="18"/>
                <w:szCs w:val="18"/>
              </w:rPr>
              <w:t xml:space="preserve">5. </w:t>
            </w:r>
            <w:r>
              <w:rPr>
                <w:sz w:val="18"/>
                <w:szCs w:val="18"/>
              </w:rPr>
              <w:t>仅为论文或摘要收录，分值减半。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3"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参加全国性学术会议</w:t>
            </w:r>
            <w:r>
              <w:rPr>
                <w:rFonts w:hint="eastAsia"/>
                <w:sz w:val="18"/>
                <w:szCs w:val="18"/>
              </w:rPr>
              <w:t>（含境内召开的国际性学术会议）</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rFonts w:hint="eastAsia"/>
                <w:sz w:val="18"/>
                <w:szCs w:val="18"/>
              </w:rPr>
              <w:t>3</w:t>
            </w:r>
          </w:p>
        </w:tc>
        <w:tc>
          <w:tcPr>
            <w:tcW w:w="3261" w:type="dxa"/>
            <w:vMerge w:val="continue"/>
            <w:tcBorders>
              <w:left w:val="single" w:color="auto" w:sz="4" w:space="0"/>
              <w:bottom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vMerge w:val="restart"/>
            <w:tcBorders>
              <w:top w:val="single" w:color="auto" w:sz="4" w:space="0"/>
              <w:left w:val="single" w:color="auto" w:sz="4" w:space="0"/>
              <w:right w:val="single" w:color="auto" w:sz="4" w:space="0"/>
            </w:tcBorders>
            <w:vAlign w:val="center"/>
          </w:tcPr>
          <w:p>
            <w:pPr>
              <w:spacing w:line="360" w:lineRule="auto"/>
              <w:rPr>
                <w:sz w:val="18"/>
                <w:szCs w:val="18"/>
              </w:rPr>
            </w:pPr>
            <w:r>
              <w:rPr>
                <w:sz w:val="18"/>
                <w:szCs w:val="18"/>
              </w:rPr>
              <w:t>上海市（或其他省市级）研究生学术论坛、校（联合培养单位）研究生论文报告会</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5</w:t>
            </w:r>
          </w:p>
        </w:tc>
        <w:tc>
          <w:tcPr>
            <w:tcW w:w="3261" w:type="dxa"/>
            <w:tcBorders>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vMerge w:val="continue"/>
            <w:tcBorders>
              <w:top w:val="single" w:color="auto" w:sz="4" w:space="0"/>
              <w:left w:val="single" w:color="auto" w:sz="4" w:space="0"/>
              <w:right w:val="single" w:color="auto" w:sz="4" w:space="0"/>
            </w:tcBorders>
            <w:vAlign w:val="center"/>
          </w:tcPr>
          <w:p>
            <w:pPr>
              <w:spacing w:line="360" w:lineRule="auto"/>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4</w:t>
            </w:r>
          </w:p>
        </w:tc>
        <w:tc>
          <w:tcPr>
            <w:tcW w:w="3261" w:type="dxa"/>
            <w:tcBorders>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vMerge w:val="continue"/>
            <w:tcBorders>
              <w:top w:val="single" w:color="auto" w:sz="4" w:space="0"/>
              <w:left w:val="single" w:color="auto" w:sz="4" w:space="0"/>
              <w:right w:val="single" w:color="auto" w:sz="4" w:space="0"/>
            </w:tcBorders>
            <w:vAlign w:val="center"/>
          </w:tcPr>
          <w:p>
            <w:pPr>
              <w:spacing w:line="360" w:lineRule="auto"/>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w:t>
            </w:r>
          </w:p>
        </w:tc>
        <w:tc>
          <w:tcPr>
            <w:tcW w:w="3261" w:type="dxa"/>
            <w:tcBorders>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vMerge w:val="continue"/>
            <w:tcBorders>
              <w:top w:val="single" w:color="auto" w:sz="4" w:space="0"/>
              <w:left w:val="single" w:color="auto" w:sz="4" w:space="0"/>
              <w:right w:val="single" w:color="auto" w:sz="4" w:space="0"/>
            </w:tcBorders>
            <w:vAlign w:val="center"/>
          </w:tcPr>
          <w:p>
            <w:pPr>
              <w:spacing w:line="360" w:lineRule="auto"/>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2</w:t>
            </w:r>
          </w:p>
        </w:tc>
        <w:tc>
          <w:tcPr>
            <w:tcW w:w="3261" w:type="dxa"/>
            <w:tcBorders>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vMerge w:val="continue"/>
            <w:tcBorders>
              <w:top w:val="single" w:color="auto" w:sz="4" w:space="0"/>
              <w:left w:val="single" w:color="auto" w:sz="4" w:space="0"/>
              <w:right w:val="single" w:color="auto" w:sz="4" w:space="0"/>
            </w:tcBorders>
            <w:vAlign w:val="center"/>
          </w:tcPr>
          <w:p>
            <w:pPr>
              <w:spacing w:line="360" w:lineRule="auto"/>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1</w:t>
            </w:r>
          </w:p>
        </w:tc>
        <w:tc>
          <w:tcPr>
            <w:tcW w:w="3261" w:type="dxa"/>
            <w:tcBorders>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优胜奖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exact"/>
        </w:trPr>
        <w:tc>
          <w:tcPr>
            <w:tcW w:w="468" w:type="dxa"/>
            <w:vMerge w:val="restart"/>
            <w:tcBorders>
              <w:top w:val="single" w:color="auto" w:sz="4" w:space="0"/>
              <w:left w:val="single" w:color="auto" w:sz="4" w:space="0"/>
              <w:right w:val="single" w:color="auto" w:sz="4" w:space="0"/>
            </w:tcBorders>
            <w:vAlign w:val="center"/>
          </w:tcPr>
          <w:p>
            <w:pPr>
              <w:spacing w:line="360" w:lineRule="auto"/>
              <w:jc w:val="center"/>
              <w:rPr>
                <w:kern w:val="0"/>
                <w:sz w:val="18"/>
                <w:szCs w:val="18"/>
              </w:rPr>
            </w:pPr>
            <w:r>
              <w:rPr>
                <w:kern w:val="0"/>
                <w:sz w:val="18"/>
                <w:szCs w:val="18"/>
              </w:rPr>
              <w:t>研究论</w:t>
            </w:r>
          </w:p>
          <w:p>
            <w:pPr>
              <w:spacing w:line="360" w:lineRule="auto"/>
              <w:jc w:val="center"/>
              <w:rPr>
                <w:kern w:val="0"/>
                <w:sz w:val="18"/>
                <w:szCs w:val="18"/>
              </w:rPr>
            </w:pPr>
            <w:r>
              <w:rPr>
                <w:kern w:val="0"/>
                <w:sz w:val="18"/>
                <w:szCs w:val="18"/>
              </w:rPr>
              <w:t>文</w:t>
            </w:r>
          </w:p>
          <w:p>
            <w:pPr>
              <w:spacing w:line="360" w:lineRule="auto"/>
              <w:jc w:val="center"/>
              <w:rPr>
                <w:kern w:val="0"/>
                <w:sz w:val="18"/>
                <w:szCs w:val="18"/>
              </w:rPr>
            </w:pPr>
            <w:r>
              <w:rPr>
                <w:kern w:val="0"/>
                <w:sz w:val="18"/>
                <w:szCs w:val="18"/>
              </w:rPr>
              <w:t>发</w:t>
            </w:r>
          </w:p>
          <w:p>
            <w:pPr>
              <w:spacing w:line="360" w:lineRule="auto"/>
              <w:jc w:val="center"/>
              <w:rPr>
                <w:sz w:val="18"/>
                <w:szCs w:val="18"/>
              </w:rPr>
            </w:pPr>
            <w:r>
              <w:rPr>
                <w:kern w:val="0"/>
                <w:sz w:val="18"/>
                <w:szCs w:val="18"/>
              </w:rPr>
              <w:t>表</w:t>
            </w: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论文被SCI</w:t>
            </w:r>
            <w:r>
              <w:rPr>
                <w:rFonts w:hint="eastAsia"/>
                <w:sz w:val="18"/>
                <w:szCs w:val="18"/>
              </w:rPr>
              <w:t>、SSCI收录</w:t>
            </w:r>
            <w:r>
              <w:rPr>
                <w:sz w:val="18"/>
                <w:szCs w:val="18"/>
              </w:rPr>
              <w:t>期刊正式公开发表（不含会议论文）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50</w:t>
            </w:r>
          </w:p>
        </w:tc>
        <w:tc>
          <w:tcPr>
            <w:tcW w:w="3261" w:type="dxa"/>
            <w:vMerge w:val="restart"/>
            <w:tcBorders>
              <w:top w:val="single" w:color="auto" w:sz="4" w:space="0"/>
              <w:left w:val="single" w:color="auto" w:sz="4" w:space="0"/>
              <w:right w:val="single" w:color="auto" w:sz="4" w:space="0"/>
            </w:tcBorders>
            <w:vAlign w:val="center"/>
          </w:tcPr>
          <w:p>
            <w:pPr>
              <w:wordWrap w:val="0"/>
              <w:spacing w:line="360" w:lineRule="auto"/>
              <w:jc w:val="left"/>
              <w:rPr>
                <w:sz w:val="18"/>
                <w:szCs w:val="18"/>
              </w:rPr>
            </w:pPr>
            <w:r>
              <w:rPr>
                <w:sz w:val="18"/>
                <w:szCs w:val="18"/>
              </w:rPr>
              <w:t>1.</w:t>
            </w:r>
            <w:r>
              <w:rPr>
                <w:rFonts w:hint="eastAsia"/>
                <w:sz w:val="18"/>
                <w:szCs w:val="18"/>
              </w:rPr>
              <w:t xml:space="preserve"> </w:t>
            </w:r>
            <w:r>
              <w:rPr>
                <w:sz w:val="18"/>
                <w:szCs w:val="18"/>
              </w:rPr>
              <w:t>查询以图书馆</w:t>
            </w:r>
            <w:r>
              <w:fldChar w:fldCharType="begin"/>
            </w:r>
            <w:r>
              <w:instrText xml:space="preserve"> HYPERLINK "http://202.121.66.120:808/url_xd.asp?cid=16&amp;typeid=9062&amp;link=http%3a%2f%2fe-resource.shou.edu.cn%2flogin%3furl%3dhttp%3a%2f%2fwww.webofknowledge.com%2f" \t "_blank" \o "Web of Science" </w:instrText>
            </w:r>
            <w:r>
              <w:fldChar w:fldCharType="separate"/>
            </w:r>
            <w:r>
              <w:rPr>
                <w:sz w:val="18"/>
                <w:szCs w:val="18"/>
              </w:rPr>
              <w:t>Web of Science</w:t>
            </w:r>
            <w:r>
              <w:rPr>
                <w:sz w:val="18"/>
                <w:szCs w:val="18"/>
              </w:rPr>
              <w:fldChar w:fldCharType="end"/>
            </w:r>
            <w:r>
              <w:rPr>
                <w:sz w:val="18"/>
                <w:szCs w:val="18"/>
              </w:rPr>
              <w:t>数据库为准，查询网址为：</w:t>
            </w:r>
          </w:p>
          <w:p>
            <w:pPr>
              <w:spacing w:line="360" w:lineRule="auto"/>
              <w:ind w:left="-2" w:leftChars="-1"/>
              <w:rPr>
                <w:sz w:val="18"/>
                <w:szCs w:val="18"/>
              </w:rPr>
            </w:pPr>
            <w:r>
              <w:rPr>
                <w:sz w:val="18"/>
                <w:szCs w:val="18"/>
              </w:rPr>
              <w:t>http://apps.webofknowledge.com/UA_GeneralSearch_input.do?product=UA&amp;search_mode=GeneralSearch&amp;SID=S1pl1t9GaudUaVHsecN&amp;preferencesSaved=；影响因子以最新年度SCI公布为准；须加附本校图书馆有效检索证明，验原件，交复印件</w:t>
            </w:r>
            <w:r>
              <w:rPr>
                <w:rFonts w:hint="eastAsia"/>
                <w:sz w:val="18"/>
                <w:szCs w:val="18"/>
              </w:rPr>
              <w:t>；</w:t>
            </w:r>
          </w:p>
          <w:p>
            <w:pPr>
              <w:spacing w:line="360" w:lineRule="auto"/>
              <w:ind w:left="-2" w:leftChars="-1"/>
              <w:rPr>
                <w:sz w:val="18"/>
                <w:szCs w:val="18"/>
              </w:rPr>
            </w:pPr>
            <w:r>
              <w:rPr>
                <w:sz w:val="18"/>
                <w:szCs w:val="18"/>
              </w:rPr>
              <w:t>2.</w:t>
            </w:r>
            <w:r>
              <w:rPr>
                <w:rFonts w:hint="eastAsia"/>
                <w:sz w:val="18"/>
                <w:szCs w:val="18"/>
              </w:rPr>
              <w:t xml:space="preserve"> </w:t>
            </w:r>
            <w:r>
              <w:rPr>
                <w:sz w:val="18"/>
                <w:szCs w:val="18"/>
              </w:rPr>
              <w:t>SSCI、EI、ISTP、A&amp;H须加附本校图书馆的EI英文期刊论文检索证明，验原件，交复印件</w:t>
            </w:r>
            <w:r>
              <w:rPr>
                <w:rFonts w:hint="eastAsia"/>
                <w:sz w:val="18"/>
                <w:szCs w:val="18"/>
              </w:rPr>
              <w:t>；</w:t>
            </w:r>
          </w:p>
          <w:p>
            <w:pPr>
              <w:spacing w:line="360" w:lineRule="auto"/>
              <w:ind w:left="-2" w:leftChars="-1"/>
              <w:rPr>
                <w:sz w:val="18"/>
                <w:szCs w:val="18"/>
              </w:rPr>
            </w:pPr>
            <w:r>
              <w:rPr>
                <w:sz w:val="18"/>
                <w:szCs w:val="18"/>
              </w:rPr>
              <w:t>3.</w:t>
            </w:r>
            <w:r>
              <w:rPr>
                <w:rFonts w:hint="eastAsia"/>
                <w:sz w:val="18"/>
                <w:szCs w:val="18"/>
              </w:rPr>
              <w:t xml:space="preserve"> </w:t>
            </w:r>
            <w:r>
              <w:rPr>
                <w:sz w:val="18"/>
                <w:szCs w:val="18"/>
              </w:rPr>
              <w:t>以第一作者或第二作者且导师为第一作者发表在公开发行刊物（有ISSN号）的论文有效；增刊、专刊无效</w:t>
            </w:r>
            <w:r>
              <w:rPr>
                <w:rFonts w:hint="eastAsia"/>
                <w:sz w:val="18"/>
                <w:szCs w:val="18"/>
              </w:rPr>
              <w:t>；</w:t>
            </w:r>
            <w:r>
              <w:rPr>
                <w:sz w:val="18"/>
                <w:szCs w:val="18"/>
              </w:rPr>
              <w:t>正式发表的论文有效，收录证明无效</w:t>
            </w:r>
            <w:r>
              <w:rPr>
                <w:rFonts w:hint="eastAsia"/>
                <w:sz w:val="18"/>
                <w:szCs w:val="18"/>
              </w:rPr>
              <w:t>；</w:t>
            </w:r>
          </w:p>
          <w:p>
            <w:pPr>
              <w:spacing w:line="360" w:lineRule="auto"/>
              <w:rPr>
                <w:sz w:val="18"/>
                <w:szCs w:val="18"/>
              </w:rPr>
            </w:pPr>
            <w:r>
              <w:rPr>
                <w:rFonts w:hint="eastAsia"/>
                <w:sz w:val="18"/>
                <w:szCs w:val="18"/>
              </w:rPr>
              <w:t>4</w:t>
            </w:r>
            <w:r>
              <w:rPr>
                <w:sz w:val="18"/>
                <w:szCs w:val="18"/>
              </w:rPr>
              <w:t>.</w:t>
            </w:r>
            <w:r>
              <w:rPr>
                <w:rFonts w:hint="eastAsia"/>
                <w:sz w:val="18"/>
                <w:szCs w:val="18"/>
              </w:rPr>
              <w:t xml:space="preserve"> </w:t>
            </w:r>
            <w:r>
              <w:rPr>
                <w:sz w:val="18"/>
                <w:szCs w:val="18"/>
              </w:rPr>
              <w:t>以外文发表的论文加1分</w:t>
            </w:r>
            <w:r>
              <w:rPr>
                <w:rFonts w:hint="eastAsia"/>
                <w:sz w:val="18"/>
                <w:szCs w:val="18"/>
              </w:rPr>
              <w:t>；</w:t>
            </w:r>
          </w:p>
          <w:p>
            <w:pPr>
              <w:spacing w:line="360" w:lineRule="auto"/>
              <w:rPr>
                <w:sz w:val="18"/>
                <w:szCs w:val="18"/>
              </w:rPr>
            </w:pPr>
            <w:r>
              <w:rPr>
                <w:rFonts w:hint="eastAsia"/>
                <w:sz w:val="18"/>
                <w:szCs w:val="18"/>
              </w:rPr>
              <w:t>5. 同一期刊分属不同库源得分以最高分计，不重复计分。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7" w:hRule="exact"/>
        </w:trPr>
        <w:tc>
          <w:tcPr>
            <w:tcW w:w="468" w:type="dxa"/>
            <w:vMerge w:val="continue"/>
            <w:tcBorders>
              <w:top w:val="single" w:color="auto" w:sz="4" w:space="0"/>
              <w:left w:val="single" w:color="auto" w:sz="4" w:space="0"/>
              <w:right w:val="single" w:color="auto" w:sz="4" w:space="0"/>
            </w:tcBorders>
            <w:vAlign w:val="center"/>
          </w:tcPr>
          <w:p>
            <w:pPr>
              <w:spacing w:line="360" w:lineRule="auto"/>
              <w:jc w:val="center"/>
              <w:rPr>
                <w:kern w:val="0"/>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论文被EI、ISTP、A&amp;H收录期刊正式公开发表（不含会议论文）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30</w:t>
            </w:r>
          </w:p>
        </w:tc>
        <w:tc>
          <w:tcPr>
            <w:tcW w:w="3261" w:type="dxa"/>
            <w:vMerge w:val="continue"/>
            <w:tcBorders>
              <w:top w:val="single" w:color="auto" w:sz="4" w:space="0"/>
              <w:left w:val="single" w:color="auto" w:sz="4" w:space="0"/>
              <w:right w:val="single" w:color="auto" w:sz="4" w:space="0"/>
            </w:tcBorders>
            <w:vAlign w:val="center"/>
          </w:tcPr>
          <w:p>
            <w:pPr>
              <w:spacing w:line="360" w:lineRule="auto"/>
              <w:ind w:left="-2" w:leftChars="-1"/>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5" w:hRule="exact"/>
        </w:trPr>
        <w:tc>
          <w:tcPr>
            <w:tcW w:w="468" w:type="dxa"/>
            <w:vMerge w:val="continue"/>
            <w:tcBorders>
              <w:top w:val="single" w:color="auto" w:sz="4" w:space="0"/>
              <w:left w:val="single" w:color="auto" w:sz="4" w:space="0"/>
              <w:right w:val="single" w:color="auto" w:sz="4" w:space="0"/>
            </w:tcBorders>
            <w:vAlign w:val="center"/>
          </w:tcPr>
          <w:p>
            <w:pPr>
              <w:spacing w:line="360" w:lineRule="auto"/>
              <w:jc w:val="center"/>
              <w:rPr>
                <w:kern w:val="0"/>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ind w:right="-94"/>
              <w:rPr>
                <w:sz w:val="18"/>
                <w:szCs w:val="18"/>
              </w:rPr>
            </w:pPr>
            <w:r>
              <w:rPr>
                <w:sz w:val="18"/>
                <w:szCs w:val="18"/>
              </w:rPr>
              <w:t>在CSCD核心库或CSSCI核心库收录的刊物上发表论文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20</w:t>
            </w:r>
          </w:p>
        </w:tc>
        <w:tc>
          <w:tcPr>
            <w:tcW w:w="3261" w:type="dxa"/>
            <w:vMerge w:val="continue"/>
            <w:tcBorders>
              <w:top w:val="single" w:color="auto" w:sz="4" w:space="0"/>
              <w:left w:val="single" w:color="auto" w:sz="4" w:space="0"/>
              <w:right w:val="single" w:color="auto" w:sz="4" w:space="0"/>
            </w:tcBorders>
            <w:vAlign w:val="center"/>
          </w:tcPr>
          <w:p>
            <w:pPr>
              <w:spacing w:line="360" w:lineRule="auto"/>
              <w:ind w:left="-2" w:leftChars="-1"/>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9"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ind w:right="-94"/>
              <w:rPr>
                <w:sz w:val="18"/>
                <w:szCs w:val="18"/>
              </w:rPr>
            </w:pPr>
            <w:r>
              <w:rPr>
                <w:rFonts w:hint="eastAsia"/>
                <w:sz w:val="18"/>
                <w:szCs w:val="18"/>
              </w:rPr>
              <w:t>论文</w:t>
            </w:r>
            <w:r>
              <w:rPr>
                <w:sz w:val="18"/>
                <w:szCs w:val="18"/>
              </w:rPr>
              <w:t>被EI、ISTP、A&amp;H收录的会议论文或者增刊、网络版发表</w:t>
            </w:r>
            <w:r>
              <w:rPr>
                <w:rFonts w:hint="eastAsia"/>
                <w:sz w:val="18"/>
                <w:szCs w:val="18"/>
              </w:rPr>
              <w:t>；论文被其他外文期刊正式公开发表（有ISBN</w:t>
            </w:r>
            <w:r>
              <w:rPr>
                <w:rFonts w:hint="eastAsia"/>
              </w:rPr>
              <w:t>号）</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宋体"/>
                <w:sz w:val="18"/>
                <w:szCs w:val="18"/>
                <w:lang w:eastAsia="zh-CN"/>
              </w:rPr>
            </w:pPr>
            <w:r>
              <w:rPr>
                <w:rFonts w:hint="eastAsia"/>
                <w:sz w:val="18"/>
                <w:szCs w:val="18"/>
                <w:lang w:val="en-US" w:eastAsia="zh-CN"/>
              </w:rPr>
              <w:t>5</w:t>
            </w:r>
          </w:p>
        </w:tc>
        <w:tc>
          <w:tcPr>
            <w:tcW w:w="3261"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ind w:right="-94"/>
              <w:rPr>
                <w:spacing w:val="-8"/>
                <w:sz w:val="18"/>
                <w:szCs w:val="18"/>
              </w:rPr>
            </w:pPr>
            <w:r>
              <w:rPr>
                <w:spacing w:val="-8"/>
                <w:sz w:val="18"/>
                <w:szCs w:val="18"/>
              </w:rPr>
              <w:t>在CSCD扩展库收录的刊物上发表论文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10</w:t>
            </w:r>
          </w:p>
        </w:tc>
        <w:tc>
          <w:tcPr>
            <w:tcW w:w="3261" w:type="dxa"/>
            <w:vMerge w:val="continue"/>
            <w:tcBorders>
              <w:left w:val="single" w:color="auto" w:sz="4" w:space="0"/>
              <w:right w:val="single" w:color="auto" w:sz="4" w:space="0"/>
            </w:tcBorders>
            <w:shd w:val="clear" w:color="auto" w:fill="auto"/>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468" w:type="dxa"/>
            <w:vMerge w:val="continue"/>
            <w:tcBorders>
              <w:left w:val="single" w:color="auto" w:sz="4" w:space="0"/>
              <w:right w:val="single" w:color="auto" w:sz="4" w:space="0"/>
            </w:tcBorders>
            <w:vAlign w:val="center"/>
          </w:tcPr>
          <w:p>
            <w:pPr>
              <w:spacing w:line="360" w:lineRule="auto"/>
              <w:jc w:val="cente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spacing w:val="-8"/>
                <w:sz w:val="18"/>
                <w:szCs w:val="18"/>
              </w:rPr>
            </w:pPr>
            <w:r>
              <w:rPr>
                <w:rFonts w:hint="eastAsia"/>
                <w:spacing w:val="-8"/>
                <w:sz w:val="18"/>
                <w:szCs w:val="18"/>
                <w:lang w:val="en-US" w:eastAsia="zh-CN"/>
              </w:rPr>
              <w:t>在</w:t>
            </w:r>
            <w:r>
              <w:rPr>
                <w:sz w:val="18"/>
                <w:szCs w:val="18"/>
              </w:rPr>
              <w:t>CSSCI扩展库</w:t>
            </w:r>
            <w:r>
              <w:rPr>
                <w:spacing w:val="-8"/>
                <w:sz w:val="18"/>
                <w:szCs w:val="18"/>
              </w:rPr>
              <w:t>收录的刊物上发表论文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eastAsia="宋体"/>
                <w:spacing w:val="-8"/>
                <w:sz w:val="18"/>
                <w:szCs w:val="18"/>
                <w:lang w:val="en-US" w:eastAsia="zh-CN"/>
              </w:rPr>
            </w:pPr>
            <w:r>
              <w:rPr>
                <w:rFonts w:hint="eastAsia"/>
                <w:spacing w:val="-8"/>
                <w:sz w:val="18"/>
                <w:szCs w:val="18"/>
                <w:lang w:val="en-US" w:eastAsia="zh-CN"/>
              </w:rPr>
              <w:t>15</w:t>
            </w:r>
          </w:p>
        </w:tc>
        <w:tc>
          <w:tcPr>
            <w:tcW w:w="3261" w:type="dxa"/>
            <w:vMerge w:val="continue"/>
            <w:tcBorders>
              <w:left w:val="single" w:color="auto" w:sz="4" w:space="0"/>
              <w:right w:val="single" w:color="auto" w:sz="4" w:space="0"/>
            </w:tcBorders>
            <w:shd w:val="clear" w:color="auto" w:fill="auto"/>
            <w:vAlign w:val="center"/>
          </w:tcPr>
          <w:p>
            <w:pPr>
              <w:spacing w:line="360" w:lineRule="auto"/>
              <w:jc w:val="center"/>
              <w:rPr>
                <w:spacing w:val="-8"/>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ind w:right="-94"/>
              <w:rPr>
                <w:spacing w:val="-8"/>
                <w:sz w:val="18"/>
                <w:szCs w:val="18"/>
              </w:rPr>
            </w:pPr>
            <w:r>
              <w:rPr>
                <w:spacing w:val="-8"/>
                <w:sz w:val="18"/>
                <w:szCs w:val="18"/>
              </w:rPr>
              <w:t>在北大核心</w:t>
            </w:r>
            <w:r>
              <w:rPr>
                <w:sz w:val="18"/>
                <w:szCs w:val="18"/>
              </w:rPr>
              <w:t>库</w:t>
            </w:r>
            <w:r>
              <w:rPr>
                <w:spacing w:val="-8"/>
                <w:sz w:val="18"/>
                <w:szCs w:val="18"/>
              </w:rPr>
              <w:t>收录的刊物上发表论文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eastAsia="宋体"/>
                <w:sz w:val="18"/>
                <w:szCs w:val="18"/>
                <w:lang w:val="en-US" w:eastAsia="zh-CN"/>
              </w:rPr>
            </w:pPr>
            <w:r>
              <w:rPr>
                <w:rFonts w:hint="eastAsia"/>
                <w:sz w:val="18"/>
                <w:szCs w:val="18"/>
                <w:lang w:val="en-US" w:eastAsia="zh-CN"/>
              </w:rPr>
              <w:t>10</w:t>
            </w:r>
          </w:p>
        </w:tc>
        <w:tc>
          <w:tcPr>
            <w:tcW w:w="3261" w:type="dxa"/>
            <w:vMerge w:val="continue"/>
            <w:tcBorders>
              <w:left w:val="single" w:color="auto" w:sz="4" w:space="0"/>
              <w:right w:val="single" w:color="auto" w:sz="4" w:space="0"/>
            </w:tcBorders>
            <w:shd w:val="clear" w:color="auto" w:fill="auto"/>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exact"/>
        </w:trPr>
        <w:tc>
          <w:tcPr>
            <w:tcW w:w="468" w:type="dxa"/>
            <w:vMerge w:val="continue"/>
            <w:tcBorders>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在《中国渔业经济》、《上海管理科学》、《海洋经济》、《海洋开发与管理》正式刊物上发表论文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2</w:t>
            </w:r>
          </w:p>
        </w:tc>
        <w:tc>
          <w:tcPr>
            <w:tcW w:w="3261" w:type="dxa"/>
            <w:vMerge w:val="continue"/>
            <w:tcBorders>
              <w:left w:val="single" w:color="auto" w:sz="4" w:space="0"/>
              <w:right w:val="single" w:color="auto" w:sz="4" w:space="0"/>
            </w:tcBorders>
            <w:shd w:val="clear" w:color="auto" w:fill="auto"/>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trPr>
        <w:tc>
          <w:tcPr>
            <w:tcW w:w="468" w:type="dxa"/>
            <w:vMerge w:val="continue"/>
            <w:tcBorders>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在其他刊物上发表论文</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1</w:t>
            </w:r>
          </w:p>
        </w:tc>
        <w:tc>
          <w:tcPr>
            <w:tcW w:w="3261" w:type="dxa"/>
            <w:vMerge w:val="continue"/>
            <w:tcBorders>
              <w:left w:val="single" w:color="auto" w:sz="4" w:space="0"/>
              <w:bottom w:val="single" w:color="auto" w:sz="4" w:space="0"/>
              <w:right w:val="single" w:color="auto" w:sz="4" w:space="0"/>
            </w:tcBorders>
            <w:shd w:val="clear" w:color="auto" w:fill="auto"/>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exact"/>
        </w:trPr>
        <w:tc>
          <w:tcPr>
            <w:tcW w:w="468" w:type="dxa"/>
            <w:vMerge w:val="restart"/>
            <w:tcBorders>
              <w:top w:val="single" w:color="auto" w:sz="4" w:space="0"/>
              <w:left w:val="single" w:color="auto" w:sz="4" w:space="0"/>
              <w:right w:val="single" w:color="auto" w:sz="4" w:space="0"/>
            </w:tcBorders>
            <w:vAlign w:val="center"/>
          </w:tcPr>
          <w:p>
            <w:pPr>
              <w:spacing w:line="360" w:lineRule="auto"/>
              <w:jc w:val="center"/>
              <w:rPr>
                <w:sz w:val="18"/>
                <w:szCs w:val="18"/>
              </w:rPr>
            </w:pPr>
            <w:r>
              <w:rPr>
                <w:sz w:val="18"/>
                <w:szCs w:val="18"/>
              </w:rPr>
              <w:t>科创获奖情况</w:t>
            </w: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imes New Roman" w:hAnsi="Times New Roman" w:cs="Times New Roman"/>
                <w:sz w:val="18"/>
                <w:szCs w:val="18"/>
              </w:rPr>
            </w:pPr>
            <w:r>
              <w:rPr>
                <w:rFonts w:ascii="Times New Roman" w:hAnsi="Times New Roman" w:cs="Times New Roman"/>
                <w:sz w:val="18"/>
                <w:szCs w:val="18"/>
              </w:rPr>
              <w:t>国家级A类或国际级赛事一等奖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6</w:t>
            </w:r>
          </w:p>
        </w:tc>
        <w:tc>
          <w:tcPr>
            <w:tcW w:w="3261" w:type="dxa"/>
            <w:vMerge w:val="restart"/>
            <w:tcBorders>
              <w:top w:val="single" w:color="auto" w:sz="4" w:space="0"/>
              <w:left w:val="single" w:color="auto" w:sz="4" w:space="0"/>
              <w:right w:val="single" w:color="auto" w:sz="4" w:space="0"/>
            </w:tcBorders>
            <w:vAlign w:val="center"/>
          </w:tcPr>
          <w:p>
            <w:pPr>
              <w:spacing w:line="360" w:lineRule="auto"/>
              <w:rPr>
                <w:sz w:val="18"/>
                <w:szCs w:val="18"/>
              </w:rPr>
            </w:pPr>
            <w:r>
              <w:rPr>
                <w:sz w:val="18"/>
                <w:szCs w:val="18"/>
              </w:rPr>
              <w:t>1.</w:t>
            </w:r>
            <w:r>
              <w:rPr>
                <w:rFonts w:hint="eastAsia"/>
                <w:sz w:val="18"/>
                <w:szCs w:val="18"/>
              </w:rPr>
              <w:t xml:space="preserve"> 该得分为个人得分，不分排名先后</w:t>
            </w:r>
            <w:r>
              <w:rPr>
                <w:sz w:val="18"/>
                <w:szCs w:val="18"/>
              </w:rPr>
              <w:t>；</w:t>
            </w:r>
          </w:p>
          <w:p>
            <w:pPr>
              <w:spacing w:line="360" w:lineRule="auto"/>
              <w:rPr>
                <w:sz w:val="18"/>
                <w:szCs w:val="18"/>
              </w:rPr>
            </w:pPr>
            <w:r>
              <w:rPr>
                <w:sz w:val="18"/>
                <w:szCs w:val="18"/>
              </w:rPr>
              <w:t>2. 各赛事如设特等奖，并获得特等奖，</w:t>
            </w:r>
            <w:r>
              <w:rPr>
                <w:rFonts w:hint="eastAsia"/>
                <w:sz w:val="18"/>
                <w:szCs w:val="18"/>
              </w:rPr>
              <w:t>得</w:t>
            </w:r>
            <w:r>
              <w:rPr>
                <w:sz w:val="18"/>
                <w:szCs w:val="18"/>
              </w:rPr>
              <w:t>分</w:t>
            </w:r>
            <w:r>
              <w:rPr>
                <w:rFonts w:hint="eastAsia"/>
                <w:sz w:val="18"/>
                <w:szCs w:val="18"/>
              </w:rPr>
              <w:t>首先</w:t>
            </w:r>
            <w:r>
              <w:rPr>
                <w:sz w:val="18"/>
                <w:szCs w:val="18"/>
              </w:rPr>
              <w:t>上浮20%；</w:t>
            </w:r>
          </w:p>
          <w:p>
            <w:pPr>
              <w:spacing w:line="360" w:lineRule="auto"/>
              <w:rPr>
                <w:sz w:val="18"/>
                <w:szCs w:val="18"/>
              </w:rPr>
            </w:pPr>
            <w:r>
              <w:rPr>
                <w:rFonts w:hint="eastAsia"/>
                <w:sz w:val="18"/>
                <w:szCs w:val="18"/>
              </w:rPr>
              <w:t>3. 若以团队参赛并担任团队负责人，得分为单人得分的2倍；</w:t>
            </w:r>
          </w:p>
          <w:p>
            <w:pPr>
              <w:spacing w:line="360" w:lineRule="auto"/>
              <w:rPr>
                <w:rFonts w:hint="eastAsia"/>
                <w:sz w:val="18"/>
                <w:szCs w:val="18"/>
              </w:rPr>
            </w:pPr>
            <w:r>
              <w:rPr>
                <w:rFonts w:hint="eastAsia"/>
                <w:sz w:val="18"/>
                <w:szCs w:val="18"/>
              </w:rPr>
              <w:t>4</w:t>
            </w:r>
            <w:r>
              <w:rPr>
                <w:sz w:val="18"/>
                <w:szCs w:val="18"/>
              </w:rPr>
              <w:t>. 赛事分类以学校教务处（团委）每年发布数据为准</w:t>
            </w:r>
            <w:r>
              <w:rPr>
                <w:rFonts w:hint="eastAsia"/>
                <w:sz w:val="18"/>
                <w:szCs w:val="18"/>
              </w:rPr>
              <w:t>；</w:t>
            </w:r>
          </w:p>
          <w:p>
            <w:pPr>
              <w:spacing w:line="360" w:lineRule="auto"/>
              <w:rPr>
                <w:rFonts w:hint="eastAsia"/>
                <w:sz w:val="18"/>
                <w:szCs w:val="18"/>
              </w:rPr>
            </w:pPr>
            <w:r>
              <w:rPr>
                <w:rFonts w:hint="eastAsia"/>
                <w:sz w:val="18"/>
                <w:szCs w:val="18"/>
              </w:rPr>
              <w:t>5. 国家级A类或国际级赛事中仅获得省市级奖项者得分按</w:t>
            </w:r>
            <w:r>
              <w:rPr>
                <w:sz w:val="18"/>
                <w:szCs w:val="18"/>
              </w:rPr>
              <w:t>国家级C类赛事、上海市市级赛事</w:t>
            </w:r>
            <w:r>
              <w:rPr>
                <w:rFonts w:hint="eastAsia"/>
                <w:sz w:val="18"/>
                <w:szCs w:val="18"/>
              </w:rPr>
              <w:t>分值计算；</w:t>
            </w:r>
          </w:p>
          <w:p>
            <w:pPr>
              <w:spacing w:line="360" w:lineRule="auto"/>
              <w:rPr>
                <w:sz w:val="18"/>
                <w:szCs w:val="18"/>
              </w:rPr>
            </w:pPr>
            <w:r>
              <w:rPr>
                <w:rFonts w:hint="eastAsia"/>
                <w:sz w:val="18"/>
                <w:szCs w:val="18"/>
              </w:rPr>
              <w:t>6. 同一赛事分别获得不同级别奖项得分以最高分计，不重复计分。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trPr>
        <w:tc>
          <w:tcPr>
            <w:tcW w:w="468" w:type="dxa"/>
            <w:vMerge w:val="continue"/>
            <w:tcBorders>
              <w:top w:val="single" w:color="auto" w:sz="4" w:space="0"/>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imes New Roman" w:hAnsi="Times New Roman" w:cs="Times New Roman"/>
                <w:sz w:val="18"/>
                <w:szCs w:val="18"/>
              </w:rPr>
            </w:pPr>
            <w:r>
              <w:rPr>
                <w:rFonts w:ascii="Times New Roman" w:hAnsi="Times New Roman" w:cs="Times New Roman"/>
                <w:sz w:val="18"/>
                <w:szCs w:val="18"/>
              </w:rPr>
              <w:t>国家级A类或国际级赛事二等奖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5</w:t>
            </w:r>
          </w:p>
        </w:tc>
        <w:tc>
          <w:tcPr>
            <w:tcW w:w="3261" w:type="dxa"/>
            <w:vMerge w:val="continue"/>
            <w:tcBorders>
              <w:top w:val="single" w:color="auto" w:sz="4" w:space="0"/>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exact"/>
        </w:trPr>
        <w:tc>
          <w:tcPr>
            <w:tcW w:w="468" w:type="dxa"/>
            <w:vMerge w:val="continue"/>
            <w:tcBorders>
              <w:top w:val="single" w:color="auto" w:sz="4" w:space="0"/>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imes New Roman" w:hAnsi="Times New Roman" w:cs="Times New Roman"/>
                <w:sz w:val="18"/>
                <w:szCs w:val="18"/>
              </w:rPr>
            </w:pPr>
            <w:r>
              <w:rPr>
                <w:rFonts w:ascii="Times New Roman" w:hAnsi="Times New Roman" w:cs="Times New Roman"/>
                <w:sz w:val="18"/>
                <w:szCs w:val="18"/>
              </w:rPr>
              <w:t>国家级A类或国际级赛事三等奖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4</w:t>
            </w:r>
          </w:p>
        </w:tc>
        <w:tc>
          <w:tcPr>
            <w:tcW w:w="3261" w:type="dxa"/>
            <w:vMerge w:val="continue"/>
            <w:tcBorders>
              <w:top w:val="single" w:color="auto" w:sz="4" w:space="0"/>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imes New Roman" w:hAnsi="Times New Roman" w:cs="Times New Roman"/>
                <w:sz w:val="18"/>
                <w:szCs w:val="18"/>
              </w:rPr>
            </w:pPr>
            <w:r>
              <w:rPr>
                <w:rFonts w:ascii="Times New Roman" w:hAnsi="Times New Roman" w:cs="Times New Roman"/>
                <w:sz w:val="18"/>
                <w:szCs w:val="18"/>
              </w:rPr>
              <w:t>国家级B类赛事一等奖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5</w:t>
            </w:r>
          </w:p>
        </w:tc>
        <w:tc>
          <w:tcPr>
            <w:tcW w:w="3261"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imes New Roman" w:hAnsi="Times New Roman" w:cs="Times New Roman"/>
                <w:sz w:val="18"/>
                <w:szCs w:val="18"/>
              </w:rPr>
            </w:pPr>
            <w:r>
              <w:rPr>
                <w:rFonts w:ascii="Times New Roman" w:hAnsi="Times New Roman" w:cs="Times New Roman"/>
                <w:sz w:val="18"/>
                <w:szCs w:val="18"/>
              </w:rPr>
              <w:t>国家级B类赛事二等奖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4</w:t>
            </w:r>
          </w:p>
        </w:tc>
        <w:tc>
          <w:tcPr>
            <w:tcW w:w="3261"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imes New Roman" w:hAnsi="Times New Roman" w:cs="Times New Roman"/>
                <w:sz w:val="18"/>
                <w:szCs w:val="18"/>
              </w:rPr>
            </w:pPr>
            <w:r>
              <w:rPr>
                <w:rFonts w:ascii="Times New Roman" w:hAnsi="Times New Roman" w:cs="Times New Roman"/>
                <w:sz w:val="18"/>
                <w:szCs w:val="18"/>
              </w:rPr>
              <w:t>国家级B类赛事三等奖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w:t>
            </w:r>
          </w:p>
        </w:tc>
        <w:tc>
          <w:tcPr>
            <w:tcW w:w="3261" w:type="dxa"/>
            <w:vMerge w:val="continue"/>
            <w:tcBorders>
              <w:left w:val="single" w:color="auto" w:sz="4" w:space="0"/>
              <w:right w:val="single" w:color="auto" w:sz="4" w:space="0"/>
            </w:tcBorders>
            <w:vAlign w:val="center"/>
          </w:tcPr>
          <w:p>
            <w:pPr>
              <w:spacing w:line="360" w:lineRule="auto"/>
              <w:rPr>
                <w:sz w:val="18"/>
                <w:szCs w:val="18"/>
              </w:rPr>
            </w:pPr>
          </w:p>
        </w:tc>
      </w:tr>
      <w:tr>
        <w:tblPrEx>
          <w:tblCellMar>
            <w:top w:w="0" w:type="dxa"/>
            <w:left w:w="108" w:type="dxa"/>
            <w:bottom w:w="0" w:type="dxa"/>
            <w:right w:w="108" w:type="dxa"/>
          </w:tblCellMar>
        </w:tblPrEx>
        <w:trPr>
          <w:cantSplit/>
          <w:trHeight w:val="861"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国家级C类赛事、上海市市级赛事一等奖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4</w:t>
            </w:r>
          </w:p>
        </w:tc>
        <w:tc>
          <w:tcPr>
            <w:tcW w:w="3261"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国家级C类赛事、上海市市级赛事二等奖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w:t>
            </w:r>
          </w:p>
        </w:tc>
        <w:tc>
          <w:tcPr>
            <w:tcW w:w="3261"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国家级C类赛事、上海市市级赛事三等奖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2</w:t>
            </w:r>
          </w:p>
        </w:tc>
        <w:tc>
          <w:tcPr>
            <w:tcW w:w="3261"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上海海洋大学校级赛事一等奖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w:t>
            </w:r>
          </w:p>
        </w:tc>
        <w:tc>
          <w:tcPr>
            <w:tcW w:w="3261"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上海海洋大学校级赛事二等奖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2</w:t>
            </w:r>
          </w:p>
        </w:tc>
        <w:tc>
          <w:tcPr>
            <w:tcW w:w="3261"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上海海洋大学校级赛事三等奖</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1</w:t>
            </w:r>
          </w:p>
        </w:tc>
        <w:tc>
          <w:tcPr>
            <w:tcW w:w="3261" w:type="dxa"/>
            <w:vMerge w:val="continue"/>
            <w:tcBorders>
              <w:left w:val="single" w:color="auto" w:sz="4" w:space="0"/>
              <w:bottom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exact"/>
        </w:trPr>
        <w:tc>
          <w:tcPr>
            <w:tcW w:w="46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kern w:val="0"/>
                <w:sz w:val="18"/>
                <w:szCs w:val="18"/>
              </w:rPr>
              <w:t>其它</w:t>
            </w:r>
          </w:p>
        </w:tc>
        <w:tc>
          <w:tcPr>
            <w:tcW w:w="417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出版专著</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5</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个人完成其中3万字以上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p>
        </w:tc>
        <w:tc>
          <w:tcPr>
            <w:tcW w:w="417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个人完成其中3万字以下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出版教材</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ind w:left="-120" w:right="-107"/>
              <w:jc w:val="center"/>
              <w:rPr>
                <w:sz w:val="18"/>
                <w:szCs w:val="18"/>
              </w:rPr>
            </w:pPr>
            <w:r>
              <w:rPr>
                <w:sz w:val="18"/>
                <w:szCs w:val="18"/>
              </w:rPr>
              <w:t>2分/章</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p>
        </w:tc>
        <w:tc>
          <w:tcPr>
            <w:tcW w:w="417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编撰辞典</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8</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被列为主编或副主编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p>
        </w:tc>
        <w:tc>
          <w:tcPr>
            <w:tcW w:w="417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被列为主要撰写人并完成其中10个条目以上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exact"/>
        </w:trPr>
        <w:tc>
          <w:tcPr>
            <w:tcW w:w="468" w:type="dxa"/>
            <w:vMerge w:val="restart"/>
            <w:tcBorders>
              <w:top w:val="single" w:color="auto" w:sz="4" w:space="0"/>
              <w:left w:val="single" w:color="auto" w:sz="4" w:space="0"/>
              <w:right w:val="single" w:color="auto" w:sz="4" w:space="0"/>
            </w:tcBorders>
          </w:tcPr>
          <w:p>
            <w:pPr>
              <w:spacing w:line="360" w:lineRule="auto"/>
              <w:jc w:val="center"/>
              <w:rPr>
                <w:sz w:val="18"/>
                <w:szCs w:val="18"/>
              </w:rPr>
            </w:pPr>
            <w:r>
              <w:rPr>
                <w:sz w:val="18"/>
                <w:szCs w:val="18"/>
              </w:rPr>
              <w:t>培养环节</w:t>
            </w: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文献综述</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1</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exact"/>
        </w:trPr>
        <w:tc>
          <w:tcPr>
            <w:tcW w:w="468" w:type="dxa"/>
            <w:vMerge w:val="continue"/>
            <w:tcBorders>
              <w:left w:val="single" w:color="auto" w:sz="4" w:space="0"/>
              <w:right w:val="single" w:color="auto" w:sz="4" w:space="0"/>
            </w:tcBorders>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开题报告</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1</w:t>
            </w:r>
          </w:p>
        </w:tc>
        <w:tc>
          <w:tcPr>
            <w:tcW w:w="326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优</w:t>
            </w:r>
          </w:p>
        </w:tc>
      </w:tr>
    </w:tbl>
    <w:p>
      <w:pPr>
        <w:spacing w:before="156" w:beforeLines="50" w:after="156" w:afterLines="50" w:line="360" w:lineRule="auto"/>
        <w:rPr>
          <w:b/>
          <w:bCs/>
        </w:rPr>
      </w:pPr>
    </w:p>
    <w:p>
      <w:pPr>
        <w:spacing w:before="156" w:beforeLines="50" w:after="156" w:afterLines="50" w:line="360" w:lineRule="auto"/>
        <w:rPr>
          <w:b/>
          <w:bCs/>
        </w:rPr>
      </w:pPr>
    </w:p>
    <w:p>
      <w:pPr>
        <w:spacing w:before="156" w:beforeLines="50" w:after="156" w:afterLines="50" w:line="360" w:lineRule="auto"/>
        <w:rPr>
          <w:b/>
          <w:bCs/>
        </w:rPr>
      </w:pPr>
    </w:p>
    <w:p>
      <w:pPr>
        <w:spacing w:before="156" w:beforeLines="50" w:after="156" w:afterLines="50" w:line="360" w:lineRule="auto"/>
        <w:rPr>
          <w:b/>
          <w:bCs/>
        </w:rPr>
      </w:pPr>
    </w:p>
    <w:p>
      <w:pPr>
        <w:spacing w:before="156" w:beforeLines="50" w:after="156" w:afterLines="50" w:line="360" w:lineRule="auto"/>
        <w:rPr>
          <w:rFonts w:ascii="黑体" w:hAnsi="黑体" w:eastAsia="黑体" w:cs="黑体"/>
          <w:b/>
          <w:bCs/>
          <w:sz w:val="32"/>
          <w:szCs w:val="32"/>
        </w:rPr>
      </w:pPr>
      <w:r>
        <w:rPr>
          <w:rFonts w:hint="eastAsia" w:ascii="黑体" w:hAnsi="黑体" w:eastAsia="黑体" w:cs="黑体"/>
          <w:b/>
          <w:bCs/>
          <w:sz w:val="32"/>
          <w:szCs w:val="32"/>
        </w:rPr>
        <w:t>附件</w:t>
      </w:r>
      <w:r>
        <w:rPr>
          <w:rFonts w:hint="eastAsia" w:ascii="黑体" w:hAnsi="黑体" w:eastAsia="黑体" w:cs="黑体"/>
          <w:b/>
          <w:bCs/>
          <w:sz w:val="32"/>
          <w:szCs w:val="32"/>
          <w:lang w:val="en-US" w:eastAsia="zh-CN"/>
        </w:rPr>
        <w:t>3</w:t>
      </w:r>
      <w:r>
        <w:rPr>
          <w:rFonts w:hint="eastAsia" w:ascii="黑体" w:hAnsi="黑体" w:eastAsia="黑体" w:cs="黑体"/>
          <w:b/>
          <w:bCs/>
          <w:sz w:val="32"/>
          <w:szCs w:val="32"/>
        </w:rPr>
        <w:t>：可认定为国家级A类或国际级的赛事</w:t>
      </w:r>
    </w:p>
    <w:tbl>
      <w:tblPr>
        <w:tblStyle w:val="6"/>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b/>
                <w:sz w:val="24"/>
              </w:rPr>
            </w:pPr>
            <w:r>
              <w:rPr>
                <w:rFonts w:hint="eastAsia" w:ascii="仿宋" w:hAnsi="仿宋" w:eastAsia="仿宋"/>
                <w:b/>
                <w:sz w:val="24"/>
              </w:rPr>
              <w:t>序</w:t>
            </w:r>
            <w:r>
              <w:rPr>
                <w:rFonts w:ascii="仿宋" w:hAnsi="仿宋" w:eastAsia="仿宋"/>
                <w:b/>
                <w:sz w:val="24"/>
              </w:rPr>
              <w:t>号</w:t>
            </w:r>
          </w:p>
        </w:tc>
        <w:tc>
          <w:tcPr>
            <w:tcW w:w="7484" w:type="dxa"/>
          </w:tcPr>
          <w:p>
            <w:pPr>
              <w:spacing w:line="400" w:lineRule="exact"/>
              <w:jc w:val="center"/>
              <w:rPr>
                <w:rFonts w:ascii="仿宋" w:hAnsi="仿宋" w:eastAsia="仿宋"/>
                <w:b/>
                <w:sz w:val="24"/>
              </w:rPr>
            </w:pPr>
            <w:r>
              <w:rPr>
                <w:rFonts w:hint="eastAsia" w:ascii="仿宋" w:hAnsi="仿宋" w:eastAsia="仿宋"/>
                <w:b/>
                <w:sz w:val="24"/>
              </w:rPr>
              <w:t>赛事</w:t>
            </w:r>
            <w:r>
              <w:rPr>
                <w:rFonts w:ascii="仿宋" w:hAnsi="仿宋" w:eastAsia="仿宋"/>
                <w:b/>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全国大学生电子设计竞赛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2</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全国大学生电子设计竞赛嵌入式专题竞赛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3</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全国大学生数学建模竞赛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4</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全国大学生广告艺术设计大赛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5</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全国大学生英语演讲竞赛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6</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全国大学生化学实验竞赛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7</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全国大学生电子商务竞赛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8</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全国大学生机械创新设计大赛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9</w:t>
            </w:r>
          </w:p>
        </w:tc>
        <w:tc>
          <w:tcPr>
            <w:tcW w:w="7484" w:type="dxa"/>
          </w:tcPr>
          <w:p>
            <w:pPr>
              <w:spacing w:line="400" w:lineRule="exact"/>
              <w:jc w:val="center"/>
              <w:rPr>
                <w:rFonts w:ascii="仿宋" w:hAnsi="仿宋" w:eastAsia="仿宋"/>
                <w:sz w:val="24"/>
              </w:rPr>
            </w:pPr>
            <w:r>
              <w:rPr>
                <w:rFonts w:hint="eastAsia" w:ascii="仿宋" w:hAnsi="仿宋" w:eastAsia="仿宋"/>
                <w:sz w:val="24"/>
              </w:rPr>
              <w:t>全国周培源大学生力学竞赛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10</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全国大学生结构设计竞赛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11</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全国大学生创新创业年会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12</w:t>
            </w:r>
          </w:p>
        </w:tc>
        <w:tc>
          <w:tcPr>
            <w:tcW w:w="7484" w:type="dxa"/>
          </w:tcPr>
          <w:p>
            <w:pPr>
              <w:spacing w:line="400" w:lineRule="exact"/>
              <w:jc w:val="center"/>
              <w:rPr>
                <w:rFonts w:ascii="仿宋" w:hAnsi="仿宋" w:eastAsia="仿宋"/>
                <w:sz w:val="24"/>
              </w:rPr>
            </w:pPr>
            <w:r>
              <w:rPr>
                <w:rFonts w:hint="eastAsia" w:ascii="仿宋" w:hAnsi="仿宋" w:eastAsia="仿宋"/>
                <w:sz w:val="24"/>
              </w:rPr>
              <w:t>“互联网+”大学生创新创业大赛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13</w:t>
            </w:r>
          </w:p>
        </w:tc>
        <w:tc>
          <w:tcPr>
            <w:tcW w:w="7484" w:type="dxa"/>
          </w:tcPr>
          <w:p>
            <w:pPr>
              <w:spacing w:line="400" w:lineRule="exact"/>
              <w:jc w:val="center"/>
              <w:rPr>
                <w:rFonts w:ascii="仿宋" w:hAnsi="仿宋" w:eastAsia="仿宋"/>
                <w:sz w:val="24"/>
              </w:rPr>
            </w:pPr>
            <w:r>
              <w:rPr>
                <w:rFonts w:hint="eastAsia" w:ascii="仿宋" w:hAnsi="仿宋" w:eastAsia="仿宋"/>
                <w:sz w:val="24"/>
              </w:rPr>
              <w:t>“挑战杯”全国大学生科技作品竞赛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14</w:t>
            </w:r>
          </w:p>
        </w:tc>
        <w:tc>
          <w:tcPr>
            <w:tcW w:w="7484" w:type="dxa"/>
          </w:tcPr>
          <w:p>
            <w:pPr>
              <w:spacing w:line="400" w:lineRule="exact"/>
              <w:jc w:val="center"/>
              <w:rPr>
                <w:rFonts w:ascii="仿宋" w:hAnsi="仿宋" w:eastAsia="仿宋"/>
                <w:sz w:val="24"/>
              </w:rPr>
            </w:pPr>
            <w:r>
              <w:rPr>
                <w:rFonts w:hint="eastAsia" w:ascii="仿宋" w:hAnsi="仿宋" w:eastAsia="仿宋"/>
                <w:sz w:val="24"/>
              </w:rPr>
              <w:t>“挑战杯”全国大学生创业计划大赛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15</w:t>
            </w:r>
          </w:p>
        </w:tc>
        <w:tc>
          <w:tcPr>
            <w:tcW w:w="7484" w:type="dxa"/>
          </w:tcPr>
          <w:p>
            <w:pPr>
              <w:spacing w:line="400" w:lineRule="exact"/>
              <w:jc w:val="center"/>
              <w:rPr>
                <w:rFonts w:ascii="仿宋" w:hAnsi="仿宋" w:eastAsia="仿宋"/>
                <w:sz w:val="24"/>
              </w:rPr>
            </w:pPr>
            <w:r>
              <w:rPr>
                <w:rFonts w:hint="eastAsia" w:ascii="仿宋" w:hAnsi="仿宋" w:eastAsia="仿宋"/>
                <w:sz w:val="24"/>
              </w:rPr>
              <w:t>美国数学模型竞赛（MCM）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16</w:t>
            </w:r>
          </w:p>
        </w:tc>
        <w:tc>
          <w:tcPr>
            <w:tcW w:w="7484" w:type="dxa"/>
          </w:tcPr>
          <w:p>
            <w:pPr>
              <w:spacing w:line="400" w:lineRule="exact"/>
              <w:jc w:val="center"/>
              <w:rPr>
                <w:rFonts w:ascii="仿宋" w:hAnsi="仿宋" w:eastAsia="仿宋"/>
                <w:sz w:val="24"/>
              </w:rPr>
            </w:pPr>
            <w:r>
              <w:rPr>
                <w:rFonts w:hint="eastAsia" w:ascii="仿宋" w:hAnsi="仿宋" w:eastAsia="仿宋"/>
                <w:sz w:val="24"/>
              </w:rPr>
              <w:t>美国大学生程序设计竞赛（ACM）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17</w:t>
            </w:r>
          </w:p>
        </w:tc>
        <w:tc>
          <w:tcPr>
            <w:tcW w:w="7484" w:type="dxa"/>
          </w:tcPr>
          <w:p>
            <w:pPr>
              <w:spacing w:line="400" w:lineRule="exact"/>
              <w:jc w:val="center"/>
              <w:rPr>
                <w:rFonts w:ascii="仿宋" w:hAnsi="仿宋" w:eastAsia="仿宋"/>
                <w:sz w:val="24"/>
              </w:rPr>
            </w:pPr>
            <w:r>
              <w:rPr>
                <w:rFonts w:hint="eastAsia" w:ascii="仿宋" w:hAnsi="仿宋" w:eastAsia="仿宋"/>
                <w:sz w:val="24"/>
              </w:rPr>
              <w:t>国际大学生机械设计竞赛</w:t>
            </w:r>
          </w:p>
        </w:tc>
      </w:tr>
    </w:tbl>
    <w:p>
      <w:pPr>
        <w:ind w:firstLine="640" w:firstLineChars="200"/>
        <w:rPr>
          <w:rFonts w:ascii="仿宋_GB2312" w:eastAsia="仿宋_GB2312"/>
          <w:sz w:val="32"/>
        </w:rPr>
      </w:pPr>
      <w:r>
        <w:rPr>
          <w:rFonts w:hint="eastAsia" w:ascii="仿宋_GB2312" w:eastAsia="仿宋_GB2312"/>
          <w:sz w:val="32"/>
        </w:rPr>
        <w:t>学校创新创业领导小组每年组织1次赛事评定工作（认定新出现的赛事、删除停办的赛事、修改赛事的等级）。参赛学院负责提供需评定赛事的材料（报名通知、官方网站、等级评定参考依据）。</w:t>
      </w:r>
    </w:p>
    <w:p>
      <w:pPr>
        <w:spacing w:before="156" w:beforeLines="50" w:after="156" w:afterLines="50" w:line="360" w:lineRule="auto"/>
        <w:rPr>
          <w:rFonts w:ascii="黑体" w:hAnsi="黑体" w:eastAsia="黑体" w:cs="黑体"/>
          <w:b/>
          <w:bCs/>
          <w:sz w:val="32"/>
          <w:szCs w:val="32"/>
        </w:rPr>
      </w:pPr>
      <w:r>
        <w:rPr>
          <w:rFonts w:hint="eastAsia" w:ascii="仿宋_GB2312" w:eastAsia="仿宋_GB2312"/>
          <w:sz w:val="32"/>
        </w:rPr>
        <w:tab/>
      </w:r>
      <w:r>
        <w:rPr>
          <w:rFonts w:hint="eastAsia" w:ascii="仿宋_GB2312" w:eastAsia="仿宋_GB2312"/>
          <w:sz w:val="32"/>
        </w:rPr>
        <w:t>国家A类或国际级赛事认定参考本科教学审核评估中相关指标。</w:t>
      </w:r>
      <w: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黑体" w:hAnsi="黑体" w:eastAsia="黑体" w:cs="黑体"/>
          <w:sz w:val="32"/>
          <w:szCs w:val="32"/>
        </w:rPr>
        <w:t>：</w:t>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"http://wzgl.shou.edu.cn/_upload/article/files/42/33/808516ab4001ba23eabf89d6dcd0/ce26afab-cd0e-485c-a5ca-5201607ceec2.doc" \o "2017年度上海海洋大学学科竞赛立项项目" \t "_blank" </w:instrText>
      </w:r>
      <w:r>
        <w:rPr>
          <w:rFonts w:hint="eastAsia" w:ascii="黑体" w:hAnsi="黑体" w:eastAsia="黑体" w:cs="黑体"/>
          <w:sz w:val="32"/>
          <w:szCs w:val="32"/>
        </w:rPr>
        <w:fldChar w:fldCharType="separate"/>
      </w:r>
      <w:r>
        <w:rPr>
          <w:rStyle w:val="8"/>
          <w:rFonts w:hint="eastAsia" w:ascii="黑体" w:hAnsi="黑体" w:eastAsia="黑体" w:cs="黑体"/>
          <w:color w:val="000000"/>
          <w:sz w:val="32"/>
          <w:szCs w:val="32"/>
        </w:rPr>
        <w:t>2018年度上海海洋大学学科竞赛立项项目</w:t>
      </w:r>
      <w:r>
        <w:rPr>
          <w:rFonts w:hint="eastAsia" w:ascii="黑体" w:hAnsi="黑体" w:eastAsia="黑体" w:cs="黑体"/>
          <w:sz w:val="32"/>
          <w:szCs w:val="32"/>
        </w:rPr>
        <w:fldChar w:fldCharType="end"/>
      </w:r>
    </w:p>
    <w:tbl>
      <w:tblPr>
        <w:tblStyle w:val="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309"/>
        <w:gridCol w:w="4596"/>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6" w:type="dxa"/>
            <w:noWrap/>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序号</w:t>
            </w:r>
          </w:p>
        </w:tc>
        <w:tc>
          <w:tcPr>
            <w:tcW w:w="1309" w:type="dxa"/>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学院</w:t>
            </w:r>
          </w:p>
        </w:tc>
        <w:tc>
          <w:tcPr>
            <w:tcW w:w="4596" w:type="dxa"/>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竞赛名称</w:t>
            </w:r>
          </w:p>
        </w:tc>
        <w:tc>
          <w:tcPr>
            <w:tcW w:w="1522" w:type="dxa"/>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竞赛等级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生命</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全国大学生水族箱造景技能大赛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生命</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大学生生命科学联赛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生命</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澜沧江－湄公河</w:t>
            </w:r>
            <w:r>
              <w:rPr>
                <w:rFonts w:ascii="仿宋" w:hAnsi="仿宋" w:eastAsia="仿宋"/>
                <w:kern w:val="0"/>
                <w:sz w:val="20"/>
                <w:szCs w:val="20"/>
              </w:rPr>
              <w:t>”</w:t>
            </w:r>
            <w:r>
              <w:rPr>
                <w:rFonts w:hint="eastAsia" w:ascii="仿宋" w:hAnsi="仿宋" w:eastAsia="仿宋"/>
                <w:kern w:val="0"/>
                <w:sz w:val="20"/>
                <w:szCs w:val="20"/>
              </w:rPr>
              <w:t>流域治理与发展创新设计大赛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生命</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全国大学生动物科学专业技能大赛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生命</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陈嘉庚青少年发明奖</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生命</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鱼卵孵化大赛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生命</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简历制作大赛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海洋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全国大学生海洋知识竞赛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9</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海洋</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ASC</w:t>
            </w:r>
            <w:r>
              <w:rPr>
                <w:rFonts w:hint="eastAsia" w:ascii="仿宋" w:hAnsi="仿宋" w:eastAsia="仿宋"/>
                <w:kern w:val="0"/>
                <w:sz w:val="20"/>
                <w:szCs w:val="20"/>
              </w:rPr>
              <w:t>世界大学生超级计算机竞赛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10</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海洋</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上汽教育杯</w:t>
            </w:r>
            <w:r>
              <w:rPr>
                <w:rFonts w:ascii="仿宋" w:hAnsi="仿宋" w:eastAsia="仿宋"/>
                <w:kern w:val="0"/>
                <w:sz w:val="20"/>
                <w:szCs w:val="20"/>
              </w:rPr>
              <w:t>”</w:t>
            </w:r>
            <w:r>
              <w:rPr>
                <w:rFonts w:hint="eastAsia" w:ascii="仿宋" w:hAnsi="仿宋" w:eastAsia="仿宋"/>
                <w:kern w:val="0"/>
                <w:sz w:val="20"/>
                <w:szCs w:val="20"/>
              </w:rPr>
              <w:t>上海市高校学生科技创新作品展示评优活动</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海洋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上海市（八校）求职模拟大赛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海洋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测绘技能大赛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全国大学生生命科学创新创业大赛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中国制冷空调行业大学生科技竞赛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全国医药院校药学</w:t>
            </w:r>
            <w:r>
              <w:rPr>
                <w:rFonts w:ascii="仿宋" w:hAnsi="仿宋" w:eastAsia="仿宋"/>
                <w:kern w:val="0"/>
                <w:sz w:val="20"/>
                <w:szCs w:val="20"/>
              </w:rPr>
              <w:t>/</w:t>
            </w:r>
            <w:r>
              <w:rPr>
                <w:rFonts w:hint="eastAsia" w:ascii="仿宋" w:hAnsi="仿宋" w:eastAsia="仿宋" w:cs="宋体"/>
                <w:kern w:val="0"/>
                <w:sz w:val="20"/>
                <w:szCs w:val="20"/>
              </w:rPr>
              <w:t>中药学专业大学生实验技能竞赛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中国食品协会系列大赛</w:t>
            </w:r>
            <w:r>
              <w:rPr>
                <w:rFonts w:ascii="仿宋" w:hAnsi="仿宋" w:eastAsia="仿宋"/>
                <w:kern w:val="0"/>
                <w:sz w:val="20"/>
                <w:szCs w:val="20"/>
              </w:rPr>
              <w:t>-</w:t>
            </w:r>
            <w:r>
              <w:rPr>
                <w:rFonts w:hint="eastAsia" w:ascii="仿宋" w:hAnsi="仿宋" w:eastAsia="仿宋" w:cs="宋体"/>
                <w:kern w:val="0"/>
                <w:sz w:val="20"/>
                <w:szCs w:val="20"/>
              </w:rPr>
              <w:t>李锦记杯学生创新大赛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中国包装创意设计大赛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CAR-ASHRAE</w:t>
            </w:r>
            <w:r>
              <w:rPr>
                <w:rFonts w:hint="eastAsia" w:ascii="仿宋" w:hAnsi="仿宋" w:eastAsia="仿宋"/>
                <w:kern w:val="0"/>
                <w:sz w:val="20"/>
                <w:szCs w:val="20"/>
              </w:rPr>
              <w:t>学生设计竞赛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19</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MDV</w:t>
            </w:r>
            <w:r>
              <w:rPr>
                <w:rFonts w:hint="eastAsia" w:ascii="仿宋" w:hAnsi="仿宋" w:eastAsia="仿宋"/>
                <w:kern w:val="0"/>
                <w:sz w:val="20"/>
                <w:szCs w:val="20"/>
              </w:rPr>
              <w:t>中央空调设计应用大赛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20</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全国高等学校人工环境学科奖</w:t>
            </w:r>
            <w:r>
              <w:rPr>
                <w:rFonts w:ascii="仿宋" w:hAnsi="仿宋" w:eastAsia="仿宋"/>
                <w:kern w:val="0"/>
                <w:sz w:val="20"/>
                <w:szCs w:val="20"/>
              </w:rPr>
              <w:t>”</w:t>
            </w:r>
            <w:r>
              <w:rPr>
                <w:rFonts w:hint="eastAsia" w:ascii="仿宋" w:hAnsi="仿宋" w:eastAsia="仿宋"/>
                <w:kern w:val="0"/>
                <w:sz w:val="20"/>
                <w:szCs w:val="20"/>
              </w:rPr>
              <w:t>专业基础竞赛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上海市大学生化学实验竞赛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上海高校学生创造发明</w:t>
            </w:r>
            <w:r>
              <w:rPr>
                <w:rFonts w:ascii="仿宋" w:hAnsi="仿宋" w:eastAsia="仿宋"/>
                <w:kern w:val="0"/>
                <w:sz w:val="20"/>
                <w:szCs w:val="20"/>
              </w:rPr>
              <w:t>“</w:t>
            </w:r>
            <w:r>
              <w:rPr>
                <w:rFonts w:hint="eastAsia" w:ascii="仿宋" w:hAnsi="仿宋" w:eastAsia="仿宋" w:cs="宋体"/>
                <w:kern w:val="0"/>
                <w:sz w:val="20"/>
                <w:szCs w:val="20"/>
              </w:rPr>
              <w:t>科技创业杯</w:t>
            </w:r>
            <w:r>
              <w:rPr>
                <w:rFonts w:ascii="仿宋" w:hAnsi="仿宋" w:eastAsia="仿宋"/>
                <w:kern w:val="0"/>
                <w:sz w:val="20"/>
                <w:szCs w:val="20"/>
              </w:rPr>
              <w:t>”</w:t>
            </w:r>
            <w:r>
              <w:rPr>
                <w:rFonts w:hint="eastAsia" w:ascii="仿宋" w:hAnsi="仿宋" w:eastAsia="仿宋" w:cs="宋体"/>
                <w:kern w:val="0"/>
                <w:sz w:val="20"/>
                <w:szCs w:val="20"/>
              </w:rPr>
              <w:t>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上海海洋大学图书馆文化环境创意设计大赛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生态环境</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全国大学生节能减排社会实践与科技竞赛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A</w:t>
            </w:r>
          </w:p>
        </w:tc>
      </w:tr>
      <w:tr>
        <w:tblPrEx>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生态环境</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全国大学生环境生态科技创新大赛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生态环境</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全国环境监测技能大赛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生态环境</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全国环境友好科技竞赛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全国金融与证券投资模拟实训大赛暨上海海洋大学模拟炒股大赛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29</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全国大学生物流设计大赛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30</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上海市决策仿真实践大赛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大学生沙盘模拟经营大赛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上海市大学生网络商务创新应用大赛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上海市高校商业精英挑战赛国际贸易竞赛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大学生广告艺术大赛（上海赛区）</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金算盘会计技能大赛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全国大学生电子设计竞赛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全国大学生智能车竞赛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蓝桥杯</w:t>
            </w:r>
            <w:r>
              <w:rPr>
                <w:rFonts w:ascii="仿宋" w:hAnsi="仿宋" w:eastAsia="仿宋"/>
                <w:kern w:val="0"/>
                <w:sz w:val="20"/>
                <w:szCs w:val="20"/>
              </w:rPr>
              <w:t>”</w:t>
            </w:r>
            <w:r>
              <w:rPr>
                <w:rFonts w:hint="eastAsia" w:ascii="仿宋" w:hAnsi="仿宋" w:eastAsia="仿宋"/>
                <w:kern w:val="0"/>
                <w:sz w:val="20"/>
                <w:szCs w:val="20"/>
              </w:rPr>
              <w:t>全国软件和信息技术专业人才大赛</w:t>
            </w:r>
            <w:r>
              <w:rPr>
                <w:rFonts w:ascii="仿宋" w:hAnsi="仿宋" w:eastAsia="仿宋"/>
                <w:kern w:val="0"/>
                <w:sz w:val="20"/>
                <w:szCs w:val="20"/>
              </w:rPr>
              <w:t>-</w:t>
            </w:r>
            <w:r>
              <w:rPr>
                <w:rFonts w:hint="eastAsia" w:ascii="仿宋" w:hAnsi="仿宋" w:eastAsia="仿宋"/>
                <w:kern w:val="0"/>
                <w:sz w:val="20"/>
                <w:szCs w:val="20"/>
              </w:rPr>
              <w:t>电子类</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39</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国际大学生</w:t>
            </w:r>
            <w:r>
              <w:rPr>
                <w:rFonts w:ascii="仿宋" w:hAnsi="仿宋" w:eastAsia="仿宋"/>
                <w:kern w:val="0"/>
                <w:sz w:val="20"/>
                <w:szCs w:val="20"/>
              </w:rPr>
              <w:t>iCAN</w:t>
            </w:r>
            <w:r>
              <w:rPr>
                <w:rFonts w:hint="eastAsia" w:ascii="仿宋" w:hAnsi="仿宋" w:eastAsia="仿宋" w:cs="宋体"/>
                <w:kern w:val="0"/>
                <w:sz w:val="20"/>
                <w:szCs w:val="20"/>
              </w:rPr>
              <w:t>创新创业大赛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40</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全国三维数字化创新设计大赛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OI</w:t>
            </w:r>
            <w:r>
              <w:rPr>
                <w:rFonts w:hint="eastAsia" w:ascii="仿宋" w:hAnsi="仿宋" w:eastAsia="仿宋"/>
                <w:kern w:val="0"/>
                <w:sz w:val="20"/>
                <w:szCs w:val="20"/>
              </w:rPr>
              <w:t>中国水下机器人大赛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上海市大学生先进成图技术大赛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上海市大学生机械工程创新大赛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w:t>
            </w:r>
            <w:r>
              <w:rPr>
                <w:rFonts w:ascii="仿宋" w:hAnsi="仿宋" w:eastAsia="仿宋"/>
                <w:kern w:val="0"/>
                <w:sz w:val="20"/>
                <w:szCs w:val="20"/>
              </w:rPr>
              <w:t>“</w:t>
            </w:r>
            <w:r>
              <w:rPr>
                <w:rFonts w:hint="eastAsia" w:ascii="仿宋" w:hAnsi="仿宋" w:eastAsia="仿宋" w:cs="宋体"/>
                <w:kern w:val="0"/>
                <w:sz w:val="20"/>
                <w:szCs w:val="20"/>
              </w:rPr>
              <w:t>创造杯</w:t>
            </w:r>
            <w:r>
              <w:rPr>
                <w:rFonts w:ascii="仿宋" w:hAnsi="仿宋" w:eastAsia="仿宋"/>
                <w:kern w:val="0"/>
                <w:sz w:val="20"/>
                <w:szCs w:val="20"/>
              </w:rPr>
              <w:t>”</w:t>
            </w:r>
            <w:r>
              <w:rPr>
                <w:rFonts w:hint="eastAsia" w:ascii="仿宋" w:hAnsi="仿宋" w:eastAsia="仿宋" w:cs="宋体"/>
                <w:kern w:val="0"/>
                <w:sz w:val="20"/>
                <w:szCs w:val="20"/>
              </w:rPr>
              <w:t>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上海市大学生工程训练综合能力竞赛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上海海洋大学船模、动力艇大赛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工程优化大赛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渔业装备创新设计大赛</w:t>
            </w:r>
            <w:r>
              <w:rPr>
                <w:rFonts w:ascii="仿宋" w:hAnsi="仿宋" w:eastAsia="仿宋"/>
                <w:kern w:val="0"/>
                <w:sz w:val="20"/>
                <w:szCs w:val="20"/>
              </w:rPr>
              <w:t xml:space="preserve"> </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49</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互联网＋</w:t>
            </w:r>
            <w:r>
              <w:rPr>
                <w:rFonts w:ascii="仿宋" w:hAnsi="仿宋" w:eastAsia="仿宋"/>
                <w:kern w:val="0"/>
                <w:sz w:val="20"/>
                <w:szCs w:val="20"/>
              </w:rPr>
              <w:t>”</w:t>
            </w:r>
            <w:r>
              <w:rPr>
                <w:rFonts w:hint="eastAsia" w:ascii="仿宋" w:hAnsi="仿宋" w:eastAsia="仿宋"/>
                <w:kern w:val="0"/>
                <w:sz w:val="20"/>
                <w:szCs w:val="20"/>
              </w:rPr>
              <w:t>大学生创新创业大赛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50</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全国大学生数学建模竞赛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中国大学生计算机设计大赛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中国大学生原创动漫大赛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中国高校计算机大赛</w:t>
            </w:r>
            <w:r>
              <w:rPr>
                <w:rFonts w:ascii="仿宋" w:hAnsi="仿宋" w:eastAsia="仿宋"/>
                <w:kern w:val="0"/>
                <w:sz w:val="20"/>
                <w:szCs w:val="20"/>
              </w:rPr>
              <w:t>-</w:t>
            </w:r>
            <w:r>
              <w:rPr>
                <w:rFonts w:hint="eastAsia" w:ascii="仿宋" w:hAnsi="仿宋" w:eastAsia="仿宋" w:cs="宋体"/>
                <w:kern w:val="0"/>
                <w:sz w:val="20"/>
                <w:szCs w:val="20"/>
              </w:rPr>
              <w:t>团体程序设计天梯赛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中国高校计算机大赛</w:t>
            </w:r>
            <w:r>
              <w:rPr>
                <w:rFonts w:ascii="仿宋" w:hAnsi="仿宋" w:eastAsia="仿宋"/>
                <w:kern w:val="0"/>
                <w:sz w:val="20"/>
                <w:szCs w:val="20"/>
              </w:rPr>
              <w:t>-</w:t>
            </w:r>
            <w:r>
              <w:rPr>
                <w:rFonts w:hint="eastAsia" w:ascii="仿宋" w:hAnsi="仿宋" w:eastAsia="仿宋" w:cs="宋体"/>
                <w:kern w:val="0"/>
                <w:sz w:val="20"/>
                <w:szCs w:val="20"/>
              </w:rPr>
              <w:t>移动应用创新赛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全国大学生数学竞赛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全国海洋航行器设计与制作大赛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蓝桥杯</w:t>
            </w:r>
            <w:r>
              <w:rPr>
                <w:rFonts w:ascii="仿宋" w:hAnsi="仿宋" w:eastAsia="仿宋"/>
                <w:kern w:val="0"/>
                <w:sz w:val="20"/>
                <w:szCs w:val="20"/>
              </w:rPr>
              <w:t>”</w:t>
            </w:r>
            <w:r>
              <w:rPr>
                <w:rFonts w:hint="eastAsia" w:ascii="仿宋" w:hAnsi="仿宋" w:eastAsia="仿宋"/>
                <w:kern w:val="0"/>
                <w:sz w:val="20"/>
                <w:szCs w:val="20"/>
              </w:rPr>
              <w:t>全国软件和信息技术专业人才大赛</w:t>
            </w:r>
            <w:r>
              <w:rPr>
                <w:rFonts w:ascii="仿宋" w:hAnsi="仿宋" w:eastAsia="仿宋"/>
                <w:kern w:val="0"/>
                <w:sz w:val="20"/>
                <w:szCs w:val="20"/>
              </w:rPr>
              <w:t>-</w:t>
            </w:r>
            <w:r>
              <w:rPr>
                <w:rFonts w:hint="eastAsia" w:ascii="仿宋" w:hAnsi="仿宋" w:eastAsia="仿宋"/>
                <w:kern w:val="0"/>
                <w:sz w:val="20"/>
                <w:szCs w:val="20"/>
              </w:rPr>
              <w:t>软件类</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上海市大学生计算机应用能力大赛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59</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上海市大学生职业生涯规划大赛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60</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全国部分地区大学生物理竞赛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上海海洋大学人工智能鱼大赛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文法</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全国大学生海洋文化创意设计大赛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文法</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语言文字系列大赛（汉字听写竞赛暨</w:t>
            </w:r>
            <w:r>
              <w:rPr>
                <w:rFonts w:ascii="仿宋" w:hAnsi="仿宋" w:eastAsia="仿宋"/>
                <w:kern w:val="0"/>
                <w:sz w:val="20"/>
                <w:szCs w:val="20"/>
              </w:rPr>
              <w:t>“</w:t>
            </w:r>
            <w:r>
              <w:rPr>
                <w:rFonts w:hint="eastAsia" w:ascii="仿宋" w:hAnsi="仿宋" w:eastAsia="仿宋" w:cs="宋体"/>
                <w:kern w:val="0"/>
                <w:sz w:val="20"/>
                <w:szCs w:val="20"/>
              </w:rPr>
              <w:t>啄木鸟</w:t>
            </w:r>
            <w:r>
              <w:rPr>
                <w:rFonts w:ascii="仿宋" w:hAnsi="仿宋" w:eastAsia="仿宋"/>
                <w:kern w:val="0"/>
                <w:sz w:val="20"/>
                <w:szCs w:val="20"/>
              </w:rPr>
              <w:t>”</w:t>
            </w:r>
            <w:r>
              <w:rPr>
                <w:rFonts w:hint="eastAsia" w:ascii="仿宋" w:hAnsi="仿宋" w:eastAsia="仿宋" w:cs="宋体"/>
                <w:kern w:val="0"/>
                <w:sz w:val="20"/>
                <w:szCs w:val="20"/>
              </w:rPr>
              <w:t>汉字纠错竞赛、中华经典诗词竞赛等）</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文法</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汉字文化创意大赛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外研社杯</w:t>
            </w:r>
            <w:r>
              <w:rPr>
                <w:rFonts w:ascii="仿宋" w:hAnsi="仿宋" w:eastAsia="仿宋"/>
                <w:kern w:val="0"/>
                <w:sz w:val="20"/>
                <w:szCs w:val="20"/>
              </w:rPr>
              <w:t>”</w:t>
            </w:r>
            <w:r>
              <w:rPr>
                <w:rFonts w:hint="eastAsia" w:ascii="仿宋" w:hAnsi="仿宋" w:eastAsia="仿宋"/>
                <w:kern w:val="0"/>
                <w:sz w:val="20"/>
                <w:szCs w:val="20"/>
              </w:rPr>
              <w:t>全国英语写作、演讲、阅读系列大赛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全国大学生英语竞赛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全国大学生英语辩论赛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韩素音青年翻译奖竞赛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69</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全国口译大赛（英语）</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70</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中国大学生学术英语词汇大赛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笹川杯全国高校日语知识大赛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锦湖韩亚杯</w:t>
            </w:r>
            <w:r>
              <w:rPr>
                <w:rFonts w:ascii="仿宋" w:hAnsi="仿宋" w:eastAsia="仿宋"/>
                <w:kern w:val="0"/>
                <w:sz w:val="20"/>
                <w:szCs w:val="20"/>
              </w:rPr>
              <w:t>”</w:t>
            </w:r>
            <w:r>
              <w:rPr>
                <w:rFonts w:hint="eastAsia" w:ascii="仿宋" w:hAnsi="仿宋" w:eastAsia="仿宋"/>
                <w:kern w:val="0"/>
                <w:sz w:val="20"/>
                <w:szCs w:val="20"/>
              </w:rPr>
              <w:t>中国大学生韩国语演讲大赛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外教社杯</w:t>
            </w:r>
            <w:r>
              <w:rPr>
                <w:rFonts w:ascii="仿宋" w:hAnsi="仿宋" w:eastAsia="仿宋"/>
                <w:kern w:val="0"/>
                <w:sz w:val="20"/>
                <w:szCs w:val="20"/>
              </w:rPr>
              <w:t>”</w:t>
            </w:r>
            <w:r>
              <w:rPr>
                <w:rFonts w:hint="eastAsia" w:ascii="仿宋" w:hAnsi="仿宋" w:eastAsia="仿宋"/>
                <w:kern w:val="0"/>
                <w:sz w:val="20"/>
                <w:szCs w:val="20"/>
              </w:rPr>
              <w:t>上海市高校学生跨文化能力大赛</w:t>
            </w:r>
            <w:r>
              <w:rPr>
                <w:rFonts w:ascii="仿宋" w:eastAsia="仿宋"/>
                <w:kern w:val="0"/>
                <w:sz w:val="20"/>
                <w:szCs w:val="20"/>
              </w:rPr>
              <w:t> </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上海市大学生口译大赛（日语）</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上海市大学生日语演讲比赛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爱恩</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商业项目策划暨</w:t>
            </w:r>
            <w:r>
              <w:rPr>
                <w:rFonts w:ascii="仿宋" w:hAnsi="仿宋" w:eastAsia="仿宋"/>
                <w:kern w:val="0"/>
                <w:sz w:val="20"/>
                <w:szCs w:val="20"/>
              </w:rPr>
              <w:t>Presentation</w:t>
            </w:r>
            <w:r>
              <w:rPr>
                <w:rFonts w:hint="eastAsia" w:ascii="仿宋" w:hAnsi="仿宋" w:eastAsia="仿宋" w:cs="宋体"/>
                <w:kern w:val="0"/>
                <w:sz w:val="20"/>
                <w:szCs w:val="20"/>
              </w:rPr>
              <w:t>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学生处</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挑战杯</w:t>
            </w:r>
            <w:r>
              <w:rPr>
                <w:rFonts w:ascii="仿宋" w:hAnsi="仿宋" w:eastAsia="仿宋"/>
                <w:kern w:val="0"/>
                <w:sz w:val="20"/>
                <w:szCs w:val="20"/>
              </w:rPr>
              <w:t>”</w:t>
            </w:r>
            <w:r>
              <w:rPr>
                <w:rFonts w:hint="eastAsia" w:ascii="仿宋" w:hAnsi="仿宋" w:eastAsia="仿宋"/>
                <w:kern w:val="0"/>
                <w:sz w:val="20"/>
                <w:szCs w:val="20"/>
              </w:rPr>
              <w:t>全国大学生课外学术科技作品竞赛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学生处</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全国大学生网文大赛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bl>
    <w:p>
      <w:pPr>
        <w:spacing w:before="240"/>
        <w:ind w:firstLine="105" w:firstLineChars="50"/>
        <w:jc w:val="left"/>
        <w:rPr>
          <w:b/>
          <w:bCs/>
        </w:rPr>
      </w:pPr>
      <w:r>
        <w:rPr>
          <w:rFonts w:hint="eastAsia"/>
        </w:rPr>
        <w:t>注</w:t>
      </w:r>
      <w:r>
        <w:t>：</w:t>
      </w:r>
      <w:r>
        <w:rPr>
          <w:rFonts w:hint="eastAsia"/>
        </w:rPr>
        <w:t>学科竞赛立项项目每年</w:t>
      </w:r>
      <w:r>
        <w:t>更新一次，以当年学校发文</w:t>
      </w:r>
      <w:r>
        <w:rPr>
          <w:rFonts w:hint="eastAsia"/>
        </w:rPr>
        <w:t>为</w:t>
      </w:r>
      <w:r>
        <w:t>准。</w:t>
      </w:r>
    </w:p>
    <w:p>
      <w:pPr>
        <w:spacing w:before="156" w:beforeLines="50" w:after="156" w:afterLines="50" w:line="360" w:lineRule="auto"/>
        <w:rPr>
          <w:b/>
          <w:bCs/>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C49"/>
    <w:rsid w:val="00016482"/>
    <w:rsid w:val="0002424D"/>
    <w:rsid w:val="000625A2"/>
    <w:rsid w:val="000834F4"/>
    <w:rsid w:val="00090D33"/>
    <w:rsid w:val="000A3CAB"/>
    <w:rsid w:val="000B103A"/>
    <w:rsid w:val="000D435D"/>
    <w:rsid w:val="000D79DA"/>
    <w:rsid w:val="000E4B37"/>
    <w:rsid w:val="00111854"/>
    <w:rsid w:val="00142689"/>
    <w:rsid w:val="00163D4E"/>
    <w:rsid w:val="001F17F9"/>
    <w:rsid w:val="002417E7"/>
    <w:rsid w:val="00307091"/>
    <w:rsid w:val="00341731"/>
    <w:rsid w:val="00347E5C"/>
    <w:rsid w:val="00365A6B"/>
    <w:rsid w:val="003949FB"/>
    <w:rsid w:val="003C21BC"/>
    <w:rsid w:val="0042101B"/>
    <w:rsid w:val="00460E1C"/>
    <w:rsid w:val="004E4FB3"/>
    <w:rsid w:val="00514B8C"/>
    <w:rsid w:val="00590F9B"/>
    <w:rsid w:val="005A1966"/>
    <w:rsid w:val="005E7A36"/>
    <w:rsid w:val="006420FD"/>
    <w:rsid w:val="006D786C"/>
    <w:rsid w:val="00715F71"/>
    <w:rsid w:val="007823FD"/>
    <w:rsid w:val="00782F2B"/>
    <w:rsid w:val="007F5887"/>
    <w:rsid w:val="00810FC8"/>
    <w:rsid w:val="00834C4D"/>
    <w:rsid w:val="00886D72"/>
    <w:rsid w:val="008E0DEE"/>
    <w:rsid w:val="008F7926"/>
    <w:rsid w:val="009112A0"/>
    <w:rsid w:val="00922AB6"/>
    <w:rsid w:val="00931E83"/>
    <w:rsid w:val="00962F13"/>
    <w:rsid w:val="0096594C"/>
    <w:rsid w:val="009815A5"/>
    <w:rsid w:val="009851BF"/>
    <w:rsid w:val="00986AD4"/>
    <w:rsid w:val="00A108AD"/>
    <w:rsid w:val="00A44899"/>
    <w:rsid w:val="00A5560C"/>
    <w:rsid w:val="00A70424"/>
    <w:rsid w:val="00AD402C"/>
    <w:rsid w:val="00B1124F"/>
    <w:rsid w:val="00B3663B"/>
    <w:rsid w:val="00B54425"/>
    <w:rsid w:val="00B77877"/>
    <w:rsid w:val="00B80413"/>
    <w:rsid w:val="00BA554A"/>
    <w:rsid w:val="00BB0059"/>
    <w:rsid w:val="00C40666"/>
    <w:rsid w:val="00CA13CA"/>
    <w:rsid w:val="00CB3B40"/>
    <w:rsid w:val="00CC4093"/>
    <w:rsid w:val="00CD3483"/>
    <w:rsid w:val="00D16D1A"/>
    <w:rsid w:val="00D20E8E"/>
    <w:rsid w:val="00D32C1A"/>
    <w:rsid w:val="00D60692"/>
    <w:rsid w:val="00D61F26"/>
    <w:rsid w:val="00D91DB7"/>
    <w:rsid w:val="00E00DB1"/>
    <w:rsid w:val="00E369D3"/>
    <w:rsid w:val="00E605B7"/>
    <w:rsid w:val="00E60EB6"/>
    <w:rsid w:val="00E8518A"/>
    <w:rsid w:val="00EB3583"/>
    <w:rsid w:val="00EC6E1C"/>
    <w:rsid w:val="00ED7E2A"/>
    <w:rsid w:val="00F10786"/>
    <w:rsid w:val="00F25C49"/>
    <w:rsid w:val="00F83C46"/>
    <w:rsid w:val="00FD0B74"/>
    <w:rsid w:val="14F742A1"/>
    <w:rsid w:val="2BB21685"/>
    <w:rsid w:val="2BC20A72"/>
    <w:rsid w:val="34E85C9A"/>
    <w:rsid w:val="3C8257C6"/>
    <w:rsid w:val="454B0C18"/>
    <w:rsid w:val="4E686125"/>
    <w:rsid w:val="4FC8263E"/>
    <w:rsid w:val="65F502D2"/>
    <w:rsid w:val="694F3580"/>
    <w:rsid w:val="7E5A7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unhideWhenUsed/>
    <w:qFormat/>
    <w:uiPriority w:val="0"/>
    <w:rPr>
      <w:rFonts w:ascii="宋体" w:hAnsi="Courier New" w:cs="Courier New"/>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纯文本 字符"/>
    <w:basedOn w:val="7"/>
    <w:link w:val="2"/>
    <w:qFormat/>
    <w:uiPriority w:val="0"/>
    <w:rPr>
      <w:rFonts w:ascii="宋体" w:hAnsi="Courier New" w:eastAsia="宋体" w:cs="Courier New"/>
      <w:szCs w:val="21"/>
    </w:rPr>
  </w:style>
  <w:style w:type="character" w:customStyle="1" w:styleId="10">
    <w:name w:val="页眉 字符"/>
    <w:basedOn w:val="7"/>
    <w:link w:val="5"/>
    <w:qFormat/>
    <w:uiPriority w:val="0"/>
    <w:rPr>
      <w:rFonts w:ascii="Times New Roman" w:hAnsi="Times New Roman" w:eastAsia="宋体" w:cs="Times New Roman"/>
      <w:sz w:val="18"/>
      <w:szCs w:val="18"/>
    </w:rPr>
  </w:style>
  <w:style w:type="character" w:customStyle="1" w:styleId="11">
    <w:name w:val="页脚 字符"/>
    <w:basedOn w:val="7"/>
    <w:link w:val="4"/>
    <w:qFormat/>
    <w:uiPriority w:val="99"/>
    <w:rPr>
      <w:rFonts w:ascii="Times New Roman" w:hAnsi="Times New Roman" w:eastAsia="宋体" w:cs="Times New Roman"/>
      <w:sz w:val="18"/>
      <w:szCs w:val="18"/>
    </w:rPr>
  </w:style>
  <w:style w:type="character" w:customStyle="1" w:styleId="12">
    <w:name w:val="批注框文本 字符"/>
    <w:basedOn w:val="7"/>
    <w:link w:val="3"/>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7E67F1-F8B0-4B8A-B383-777D0B17DCF2}">
  <ds:schemaRefs/>
</ds:datastoreItem>
</file>

<file path=docProps/app.xml><?xml version="1.0" encoding="utf-8"?>
<Properties xmlns="http://schemas.openxmlformats.org/officeDocument/2006/extended-properties" xmlns:vt="http://schemas.openxmlformats.org/officeDocument/2006/docPropsVTypes">
  <Template>Normal</Template>
  <Pages>6</Pages>
  <Words>685</Words>
  <Characters>3909</Characters>
  <Lines>32</Lines>
  <Paragraphs>9</Paragraphs>
  <TotalTime>0</TotalTime>
  <ScaleCrop>false</ScaleCrop>
  <LinksUpToDate>false</LinksUpToDate>
  <CharactersWithSpaces>4585</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2018-09-19T14:05:00Z</dcterms:created>
  <dc:creator>SHOU</dc:creator>
  <cp:lastModifiedBy>了却望北楼的山水</cp:lastModifiedBy>
  <cp:lastPrinted>2017-09-18T00:43:00Z</cp:lastPrinted>
  <dcterms:modified xsi:type="dcterms:W3CDTF">2019-09-19T06:03:36Z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